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food supply shocks shred the global economy</w:t>
      </w:r>
    </w:p>
    <w:p>
      <w:pPr>
        <w:spacing w:after="80"/>
      </w:pPr>
      <w:r>
        <w:rPr>
          <w:b w:val="0"/>
          <w:i w:val="0"/>
          <w:smallCaps w:val="0"/>
          <w:strike w:val="0"/>
          <w:u w:val="none"/>
        </w:rPr>
        <w:t xml:space="preserve">Gert </w:t>
      </w:r>
      <w:r>
        <w:rPr>
          <w:b/>
          <w:i w:val="0"/>
          <w:smallCaps w:val="0"/>
          <w:strike w:val="0"/>
          <w:sz w:val="26"/>
          <w:u w:val="none"/>
        </w:rPr>
        <w:t xml:space="preserve">Peersman 16, </w:t>
      </w:r>
      <w:r>
        <w:rPr>
          <w:b w:val="0"/>
          <w:i w:val="0"/>
          <w:smallCaps w:val="0"/>
          <w:strike w:val="0"/>
          <w:u w:val="none"/>
        </w:rPr>
        <w:t>Professor in Econ at Ghent University, with; Jasmien De Winne, Management Assistant at Strabag Belgium, 2016, "Macroeconomic effects of disruptions in global food commodity markets: Evidence for the United States,” https://www.brookings.edu/bpea-articles/macroeconomic-effects-of-disruptions-in-global-food-commodity-markets/</w:t>
      </w:r>
    </w:p>
    <w:p>
      <w:pPr>
        <w:spacing w:after="60"/>
      </w:pPr>
      <w:r>
        <w:rPr>
          <w:b w:val="0"/>
          <w:i w:val="0"/>
          <w:smallCaps w:val="0"/>
          <w:strike w:val="0"/>
          <w:sz w:val="22"/>
          <w:u w:val="single"/>
        </w:rPr>
        <w:t xml:space="preserve">The authors compare their estimates on </w:t>
      </w:r>
      <w:r>
        <w:rPr>
          <w:b/>
          <w:i w:val="0"/>
          <w:smallCaps w:val="0"/>
          <w:strike w:val="0"/>
          <w:sz w:val="22"/>
          <w:u w:val="single"/>
        </w:rPr>
        <w:t>food supply shocks</w:t>
      </w:r>
      <w:r>
        <w:rPr>
          <w:b w:val="0"/>
          <w:i w:val="0"/>
          <w:smallCaps w:val="0"/>
          <w:strike w:val="0"/>
          <w:sz w:val="28"/>
          <w:u w:val="single"/>
        </w:rPr>
        <w:t xml:space="preserve"> </w:t>
      </w:r>
      <w:r>
        <w:rPr>
          <w:b w:val="0"/>
          <w:i w:val="0"/>
          <w:smallCaps w:val="0"/>
          <w:strike w:val="0"/>
          <w:sz w:val="22"/>
          <w:u w:val="single"/>
        </w:rPr>
        <w:t xml:space="preserve">to the impact of similar </w:t>
      </w:r>
      <w:r>
        <w:rPr>
          <w:b/>
          <w:i w:val="0"/>
          <w:smallCaps w:val="0"/>
          <w:strike w:val="0"/>
          <w:sz w:val="22"/>
          <w:u w:val="single"/>
        </w:rPr>
        <w:t>economic shocks</w:t>
      </w:r>
      <w:r>
        <w:rPr>
          <w:b w:val="0"/>
          <w:i w:val="0"/>
          <w:smallCaps w:val="0"/>
          <w:strike w:val="0"/>
          <w:sz w:val="22"/>
          <w:u w:val="single"/>
        </w:rPr>
        <w:t xml:space="preserve">, such as to the global </w:t>
      </w:r>
      <w:r>
        <w:rPr>
          <w:b/>
          <w:i w:val="0"/>
          <w:smallCaps w:val="0"/>
          <w:strike w:val="0"/>
          <w:sz w:val="22"/>
          <w:u w:val="single"/>
        </w:rPr>
        <w:t>crude oil supply</w:t>
      </w:r>
      <w:r>
        <w:rPr>
          <w:b w:val="0"/>
          <w:i w:val="0"/>
          <w:smallCaps w:val="0"/>
          <w:strike w:val="0"/>
          <w:sz w:val="16"/>
          <w:u w:val="none"/>
        </w:rPr>
        <w:t xml:space="preserve">. They find that </w:t>
      </w:r>
      <w:r>
        <w:rPr>
          <w:b w:val="0"/>
          <w:i w:val="0"/>
          <w:smallCaps w:val="0"/>
          <w:strike w:val="0"/>
          <w:sz w:val="22"/>
          <w:u w:val="single"/>
        </w:rPr>
        <w:t xml:space="preserve">the impact of a rise in real food commodity prices on </w:t>
      </w:r>
      <w:r>
        <w:rPr>
          <w:b/>
          <w:i w:val="0"/>
          <w:smallCaps w:val="0"/>
          <w:strike w:val="0"/>
          <w:sz w:val="22"/>
          <w:u w:val="single"/>
        </w:rPr>
        <w:t>economic activity</w:t>
      </w:r>
      <w:r>
        <w:rPr>
          <w:b w:val="0"/>
          <w:i w:val="0"/>
          <w:smallCaps w:val="0"/>
          <w:strike w:val="0"/>
          <w:sz w:val="16"/>
          <w:u w:val="none"/>
        </w:rPr>
        <w:t xml:space="preserve"> </w:t>
      </w:r>
      <w:r>
        <w:rPr>
          <w:b w:val="0"/>
          <w:i w:val="0"/>
          <w:smallCaps w:val="0"/>
          <w:strike w:val="0"/>
          <w:sz w:val="22"/>
          <w:u w:val="single"/>
        </w:rPr>
        <w:t xml:space="preserve">is </w:t>
      </w:r>
      <w:r>
        <w:rPr>
          <w:b/>
          <w:i w:val="0"/>
          <w:smallCaps w:val="0"/>
          <w:strike w:val="0"/>
          <w:sz w:val="22"/>
          <w:u w:val="single"/>
        </w:rPr>
        <w:t>roughly twice</w:t>
      </w:r>
      <w:r>
        <w:rPr>
          <w:b w:val="0"/>
          <w:i w:val="0"/>
          <w:smallCaps w:val="0"/>
          <w:strike w:val="0"/>
          <w:sz w:val="22"/>
          <w:u w:val="single"/>
        </w:rPr>
        <w:t xml:space="preserve"> as large as the impact of a rise in</w:t>
      </w:r>
      <w:r>
        <w:rPr>
          <w:b w:val="0"/>
          <w:i w:val="0"/>
          <w:smallCaps w:val="0"/>
          <w:strike w:val="0"/>
          <w:sz w:val="16"/>
          <w:u w:val="none"/>
        </w:rPr>
        <w:t xml:space="preserve"> </w:t>
      </w:r>
      <w:r>
        <w:rPr>
          <w:b w:val="0"/>
          <w:i w:val="0"/>
          <w:smallCaps w:val="0"/>
          <w:strike w:val="0"/>
          <w:sz w:val="22"/>
          <w:u w:val="single"/>
        </w:rPr>
        <w:t>crude oil prices</w:t>
      </w:r>
      <w:r>
        <w:rPr>
          <w:b w:val="0"/>
          <w:i w:val="0"/>
          <w:smallCaps w:val="0"/>
          <w:strike w:val="0"/>
          <w:sz w:val="16"/>
          <w:u w:val="none"/>
        </w:rPr>
        <w:t xml:space="preserve"> of equal size, and that while the dynamic effects of both shocks on real personal consumption are more or less the same, </w:t>
      </w:r>
      <w:r>
        <w:rPr>
          <w:b w:val="0"/>
          <w:i w:val="0"/>
          <w:smallCaps w:val="0"/>
          <w:strike w:val="0"/>
          <w:sz w:val="22"/>
          <w:u w:val="single"/>
        </w:rPr>
        <w:t xml:space="preserve">the average food supply shock has a slightly </w:t>
      </w:r>
      <w:r>
        <w:rPr>
          <w:b/>
          <w:i w:val="0"/>
          <w:smallCaps w:val="0"/>
          <w:strike w:val="0"/>
          <w:sz w:val="22"/>
          <w:u w:val="single"/>
        </w:rPr>
        <w:t>stronger</w:t>
      </w:r>
      <w:r>
        <w:rPr>
          <w:b w:val="0"/>
          <w:i w:val="0"/>
          <w:smallCaps w:val="0"/>
          <w:strike w:val="0"/>
          <w:sz w:val="22"/>
          <w:u w:val="single"/>
        </w:rPr>
        <w:t xml:space="preserve"> and more </w:t>
      </w:r>
      <w:r>
        <w:rPr>
          <w:b/>
          <w:i w:val="0"/>
          <w:smallCaps w:val="0"/>
          <w:strike w:val="0"/>
          <w:sz w:val="22"/>
          <w:u w:val="single"/>
        </w:rPr>
        <w:t>persistent</w:t>
      </w:r>
      <w:r>
        <w:rPr>
          <w:b w:val="0"/>
          <w:i w:val="0"/>
          <w:smallCaps w:val="0"/>
          <w:strike w:val="0"/>
          <w:sz w:val="22"/>
          <w:u w:val="single"/>
        </w:rPr>
        <w:t xml:space="preserve"> </w:t>
      </w:r>
      <w:r>
        <w:rPr>
          <w:b/>
          <w:i w:val="0"/>
          <w:smallCaps w:val="0"/>
          <w:strike w:val="0"/>
          <w:sz w:val="22"/>
          <w:u w:val="single"/>
        </w:rPr>
        <w:t>impact</w:t>
      </w:r>
      <w:r>
        <w:rPr>
          <w:b w:val="0"/>
          <w:i w:val="0"/>
          <w:smallCaps w:val="0"/>
          <w:strike w:val="0"/>
          <w:sz w:val="22"/>
          <w:u w:val="single"/>
        </w:rPr>
        <w:t xml:space="preserve"> on </w:t>
      </w:r>
      <w:r>
        <w:rPr>
          <w:b/>
          <w:i w:val="0"/>
          <w:smallCaps w:val="0"/>
          <w:strike w:val="0"/>
          <w:sz w:val="22"/>
          <w:u w:val="single"/>
        </w:rPr>
        <w:t>consumer prices</w:t>
      </w:r>
      <w:r>
        <w:rPr>
          <w:b w:val="0"/>
          <w:i w:val="0"/>
          <w:smallCaps w:val="0"/>
          <w:strike w:val="0"/>
          <w:sz w:val="22"/>
          <w:u w:val="single"/>
        </w:rPr>
        <w:t xml:space="preserve"> than the </w:t>
      </w:r>
      <w:r>
        <w:rPr>
          <w:b/>
          <w:i w:val="0"/>
          <w:smallCaps w:val="0"/>
          <w:strike w:val="0"/>
          <w:sz w:val="22"/>
          <w:u w:val="single"/>
        </w:rPr>
        <w:t>average oil supply shock.</w:t>
      </w:r>
    </w:p>
    <w:p>
      <w:pPr>
        <w:spacing w:after="60"/>
      </w:pPr>
      <w:r>
        <w:rPr>
          <w:b w:val="0"/>
          <w:i w:val="0"/>
          <w:smallCaps w:val="0"/>
          <w:strike w:val="0"/>
          <w:sz w:val="16"/>
          <w:u w:val="none"/>
        </w:rPr>
        <w:t xml:space="preserve">They highlight, that </w:t>
      </w:r>
      <w:r>
        <w:rPr>
          <w:b w:val="0"/>
          <w:i w:val="0"/>
          <w:smallCaps w:val="0"/>
          <w:strike w:val="0"/>
          <w:sz w:val="22"/>
          <w:u w:val="single"/>
        </w:rPr>
        <w:t xml:space="preserve">both types of shocks cause </w:t>
      </w:r>
      <w:r>
        <w:rPr>
          <w:b/>
          <w:i w:val="0"/>
          <w:smallCaps w:val="0"/>
          <w:strike w:val="0"/>
          <w:sz w:val="22"/>
          <w:u w:val="single"/>
        </w:rPr>
        <w:t>monetary policymakers</w:t>
      </w:r>
      <w:r>
        <w:rPr>
          <w:b w:val="0"/>
          <w:i w:val="0"/>
          <w:smallCaps w:val="0"/>
          <w:strike w:val="0"/>
          <w:sz w:val="22"/>
          <w:u w:val="single"/>
        </w:rPr>
        <w:t xml:space="preserve"> to respond in different ways</w:t>
      </w:r>
      <w:r>
        <w:rPr>
          <w:b w:val="0"/>
          <w:i w:val="0"/>
          <w:smallCaps w:val="0"/>
          <w:strike w:val="0"/>
          <w:sz w:val="16"/>
          <w:u w:val="none"/>
        </w:rPr>
        <w:t xml:space="preserve">. </w:t>
      </w:r>
      <w:r>
        <w:rPr>
          <w:b w:val="0"/>
          <w:i w:val="0"/>
          <w:smallCaps w:val="0"/>
          <w:strike w:val="0"/>
          <w:sz w:val="22"/>
          <w:u w:val="single"/>
        </w:rPr>
        <w:t>A food price shock of 5 percent increases</w:t>
      </w:r>
      <w:r>
        <w:rPr>
          <w:b w:val="0"/>
          <w:i w:val="0"/>
          <w:smallCaps w:val="0"/>
          <w:strike w:val="0"/>
          <w:sz w:val="16"/>
          <w:u w:val="none"/>
        </w:rPr>
        <w:t xml:space="preserve"> the Federal Funds rate by 24 basis points (a </w:t>
      </w:r>
      <w:r>
        <w:rPr>
          <w:b w:val="0"/>
          <w:i w:val="0"/>
          <w:smallCaps w:val="0"/>
          <w:strike w:val="0"/>
          <w:sz w:val="22"/>
          <w:u w:val="single"/>
        </w:rPr>
        <w:t>rise in 10 basis points leads to a fall in real GDP between 0.05 percent and 0.1</w:t>
      </w:r>
      <w:r>
        <w:rPr>
          <w:b w:val="0"/>
          <w:i w:val="0"/>
          <w:smallCaps w:val="0"/>
          <w:strike w:val="0"/>
          <w:sz w:val="16"/>
          <w:u w:val="none"/>
        </w:rPr>
        <w:t xml:space="preserve"> </w:t>
      </w:r>
      <w:r>
        <w:rPr>
          <w:b w:val="0"/>
          <w:i w:val="0"/>
          <w:smallCaps w:val="0"/>
          <w:strike w:val="0"/>
          <w:sz w:val="22"/>
          <w:u w:val="single"/>
        </w:rPr>
        <w:t>percent</w:t>
      </w:r>
      <w:r>
        <w:rPr>
          <w:b w:val="0"/>
          <w:i w:val="0"/>
          <w:smallCaps w:val="0"/>
          <w:strike w:val="0"/>
          <w:sz w:val="16"/>
          <w:u w:val="none"/>
        </w:rPr>
        <w:t xml:space="preserve">), </w:t>
      </w:r>
      <w:r>
        <w:rPr>
          <w:b w:val="0"/>
          <w:i w:val="0"/>
          <w:smallCaps w:val="0"/>
          <w:strike w:val="0"/>
          <w:sz w:val="22"/>
          <w:u w:val="single"/>
        </w:rPr>
        <w:t xml:space="preserve">whereas the rate decreases by </w:t>
      </w:r>
      <w:r>
        <w:rPr>
          <w:b/>
          <w:i w:val="0"/>
          <w:smallCaps w:val="0"/>
          <w:strike w:val="0"/>
          <w:sz w:val="22"/>
          <w:u w:val="single"/>
        </w:rPr>
        <w:t>20 basis points</w:t>
      </w:r>
      <w:r>
        <w:rPr>
          <w:b w:val="0"/>
          <w:i w:val="0"/>
          <w:smallCaps w:val="0"/>
          <w:strike w:val="0"/>
          <w:sz w:val="16"/>
          <w:u w:val="none"/>
        </w:rPr>
        <w:t>, on impact, in response to a 10 percent oil shock. In other words, monetary policy seems to amplify the consequences of food market disruptions on economic activity. The authors estimate that monetary policy response to food market disruptions can potentially explain almost one-third of the effects of the shock.</w:t>
      </w:r>
    </w:p>
    <w:p>
      <w:pPr>
        <w:spacing w:after="60"/>
      </w:pPr>
      <w:r>
        <w:rPr>
          <w:b w:val="0"/>
          <w:i w:val="0"/>
          <w:smallCaps w:val="0"/>
          <w:strike w:val="0"/>
          <w:sz w:val="22"/>
          <w:u w:val="single"/>
        </w:rPr>
        <w:t>Given the substantial rise in the use of food commodities to produce energy goods</w:t>
      </w:r>
      <w:r>
        <w:rPr>
          <w:b w:val="0"/>
          <w:i w:val="0"/>
          <w:smallCaps w:val="0"/>
          <w:strike w:val="0"/>
          <w:sz w:val="16"/>
          <w:u w:val="none"/>
        </w:rPr>
        <w:t xml:space="preserve">, the research into </w:t>
      </w:r>
      <w:r>
        <w:rPr>
          <w:b w:val="0"/>
          <w:i w:val="0"/>
          <w:smallCaps w:val="0"/>
          <w:strike w:val="0"/>
          <w:sz w:val="22"/>
          <w:u w:val="single"/>
        </w:rPr>
        <w:t>the relationship between</w:t>
      </w:r>
      <w:r>
        <w:rPr>
          <w:b w:val="0"/>
          <w:i w:val="0"/>
          <w:smallCaps w:val="0"/>
          <w:strike w:val="0"/>
          <w:sz w:val="16"/>
          <w:u w:val="none"/>
        </w:rPr>
        <w:t xml:space="preserve"> </w:t>
      </w:r>
      <w:r>
        <w:rPr>
          <w:b/>
          <w:i w:val="0"/>
          <w:smallCaps w:val="0"/>
          <w:strike w:val="0"/>
          <w:sz w:val="22"/>
          <w:u w:val="single"/>
        </w:rPr>
        <w:t>food supply shocks</w:t>
      </w:r>
      <w:r>
        <w:rPr>
          <w:b w:val="0"/>
          <w:i w:val="0"/>
          <w:smallCaps w:val="0"/>
          <w:strike w:val="0"/>
          <w:sz w:val="16"/>
          <w:u w:val="none"/>
        </w:rPr>
        <w:t xml:space="preserve"> </w:t>
      </w:r>
      <w:r>
        <w:rPr>
          <w:b w:val="0"/>
          <w:i w:val="0"/>
          <w:smallCaps w:val="0"/>
          <w:strike w:val="0"/>
          <w:sz w:val="22"/>
          <w:u w:val="single"/>
        </w:rPr>
        <w:t xml:space="preserve">and the </w:t>
      </w:r>
      <w:r>
        <w:rPr>
          <w:b/>
          <w:i w:val="0"/>
          <w:smallCaps w:val="0"/>
          <w:strike w:val="0"/>
          <w:sz w:val="22"/>
          <w:u w:val="single"/>
        </w:rPr>
        <w:t>macro economy</w:t>
      </w:r>
      <w:r>
        <w:rPr>
          <w:b w:val="0"/>
          <w:i w:val="0"/>
          <w:smallCaps w:val="0"/>
          <w:strike w:val="0"/>
          <w:sz w:val="22"/>
          <w:u w:val="single"/>
        </w:rPr>
        <w:t xml:space="preserve"> is increasingly </w:t>
      </w:r>
      <w:r>
        <w:rPr>
          <w:b/>
          <w:i w:val="0"/>
          <w:smallCaps w:val="0"/>
          <w:strike w:val="0"/>
          <w:sz w:val="22"/>
          <w:u w:val="single"/>
        </w:rPr>
        <w:t>important</w:t>
      </w:r>
      <w:r>
        <w:rPr>
          <w:b w:val="0"/>
          <w:i w:val="0"/>
          <w:smallCaps w:val="0"/>
          <w:strike w:val="0"/>
          <w:sz w:val="16"/>
          <w:u w:val="none"/>
        </w:rPr>
        <w:t xml:space="preserve">. </w:t>
      </w:r>
      <w:r>
        <w:rPr>
          <w:b w:val="0"/>
          <w:i w:val="0"/>
          <w:smallCaps w:val="0"/>
          <w:strike w:val="0"/>
          <w:sz w:val="22"/>
          <w:u w:val="single"/>
        </w:rPr>
        <w:t xml:space="preserve">Quantitative evidence can not only inform business cycle fluctuations, but also help </w:t>
      </w:r>
      <w:r>
        <w:rPr>
          <w:b/>
          <w:i w:val="0"/>
          <w:smallCaps w:val="0"/>
          <w:strike w:val="0"/>
          <w:sz w:val="22"/>
          <w:u w:val="single"/>
        </w:rPr>
        <w:t>policymakers</w:t>
      </w:r>
      <w:r>
        <w:rPr>
          <w:b w:val="0"/>
          <w:i w:val="0"/>
          <w:smallCaps w:val="0"/>
          <w:strike w:val="0"/>
          <w:sz w:val="22"/>
          <w:u w:val="single"/>
        </w:rPr>
        <w:t xml:space="preserve"> assess the usefulness of </w:t>
      </w:r>
      <w:r>
        <w:rPr>
          <w:b/>
          <w:i w:val="0"/>
          <w:smallCaps w:val="0"/>
          <w:strike w:val="0"/>
          <w:sz w:val="22"/>
          <w:u w:val="single"/>
        </w:rPr>
        <w:t>food security</w:t>
      </w:r>
      <w:r>
        <w:rPr>
          <w:b w:val="0"/>
          <w:i w:val="0"/>
          <w:smallCaps w:val="0"/>
          <w:strike w:val="0"/>
          <w:sz w:val="22"/>
          <w:u w:val="single"/>
        </w:rPr>
        <w:t xml:space="preserve"> </w:t>
      </w:r>
      <w:r>
        <w:rPr>
          <w:b/>
          <w:i w:val="0"/>
          <w:smallCaps w:val="0"/>
          <w:strike w:val="0"/>
          <w:sz w:val="22"/>
          <w:u w:val="single"/>
        </w:rPr>
        <w:t>program</w:t>
      </w:r>
      <w:r>
        <w:rPr>
          <w:b w:val="0"/>
          <w:i w:val="0"/>
          <w:smallCaps w:val="0"/>
          <w:strike w:val="0"/>
          <w:sz w:val="22"/>
          <w:u w:val="single"/>
        </w:rPr>
        <w:t xml:space="preserve"> like SNAP or design optimal monetary policy responses to changes in food prices.</w:t>
      </w:r>
    </w:p>
    <w:p>
      <w:pPr>
        <w:spacing w:after="60"/>
      </w:pPr>
      <w:r>
        <w:rPr>
          <w:b w:val="0"/>
          <w:i w:val="0"/>
          <w:smallCaps w:val="0"/>
          <w:strike w:val="0"/>
          <w:sz w:val="16"/>
          <w:u w:val="none"/>
        </w:rPr>
        <w:t>The authors highlight that the evidence will become even more important in the years ahead, as the consequences of climate change increase the likelihood of significant weather shocks to agriculture.</w:t>
      </w:r>
    </w:p>
    <w:p>
      <w:pPr>
        <w:spacing w:after="60"/>
      </w:pPr>
      <w:r>
        <w:rPr>
          <w:b w:val="0"/>
          <w:i w:val="0"/>
          <w:smallCaps w:val="0"/>
          <w:strike w:val="0"/>
          <w:sz w:val="16"/>
          <w:u w:val="none"/>
        </w:rPr>
        <w:t xml:space="preserve">“In sum, </w:t>
      </w:r>
      <w:r>
        <w:rPr>
          <w:b w:val="0"/>
          <w:i w:val="0"/>
          <w:smallCaps w:val="0"/>
          <w:strike w:val="0"/>
          <w:sz w:val="22"/>
          <w:u w:val="single"/>
        </w:rPr>
        <w:t xml:space="preserve">the </w:t>
      </w:r>
      <w:r>
        <w:rPr>
          <w:b/>
          <w:i w:val="0"/>
          <w:smallCaps w:val="0"/>
          <w:strike w:val="0"/>
          <w:sz w:val="22"/>
          <w:u w:val="single"/>
        </w:rPr>
        <w:t>macro effects</w:t>
      </w:r>
      <w:r>
        <w:rPr>
          <w:b w:val="0"/>
          <w:i w:val="0"/>
          <w:smallCaps w:val="0"/>
          <w:strike w:val="0"/>
          <w:sz w:val="22"/>
          <w:u w:val="single"/>
        </w:rPr>
        <w:t xml:space="preserve"> of </w:t>
      </w:r>
      <w:r>
        <w:rPr>
          <w:b/>
          <w:i w:val="0"/>
          <w:smallCaps w:val="0"/>
          <w:strike w:val="0"/>
          <w:sz w:val="22"/>
          <w:u w:val="single"/>
        </w:rPr>
        <w:t>food market disturbances</w:t>
      </w:r>
      <w:r>
        <w:rPr>
          <w:b w:val="0"/>
          <w:i w:val="0"/>
          <w:smallCaps w:val="0"/>
          <w:strike w:val="0"/>
          <w:sz w:val="28"/>
          <w:u w:val="single"/>
        </w:rPr>
        <w:t xml:space="preserve"> </w:t>
      </w:r>
      <w:r>
        <w:rPr>
          <w:b w:val="0"/>
          <w:i w:val="0"/>
          <w:smallCaps w:val="0"/>
          <w:strike w:val="0"/>
          <w:sz w:val="22"/>
          <w:u w:val="single"/>
        </w:rPr>
        <w:t xml:space="preserve">are </w:t>
      </w:r>
      <w:r>
        <w:rPr>
          <w:b/>
          <w:i w:val="0"/>
          <w:smallCaps w:val="0"/>
          <w:strike w:val="0"/>
          <w:sz w:val="22"/>
          <w:u w:val="single"/>
        </w:rPr>
        <w:t>compelling</w:t>
      </w:r>
      <w:r>
        <w:rPr>
          <w:b w:val="0"/>
          <w:i w:val="0"/>
          <w:smallCaps w:val="0"/>
          <w:strike w:val="0"/>
          <w:sz w:val="22"/>
          <w:u w:val="single"/>
        </w:rPr>
        <w:t>, and should be taken into account for business cycle analysis, countercyclical policies, public risk management schemes for the stabilization of food markets</w:t>
      </w:r>
      <w:r>
        <w:rPr>
          <w:b w:val="0"/>
          <w:i w:val="0"/>
          <w:smallCaps w:val="0"/>
          <w:strike w:val="0"/>
          <w:sz w:val="16"/>
          <w:u w:val="none"/>
        </w:rPr>
        <w:t>, and the assessment of climate change and policy measures that may influence food prices,” they conclude.</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