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Farm bill </w:t>
      </w:r>
      <w:r>
        <w:rPr>
          <w:b/>
          <w:i w:val="0"/>
          <w:smallCaps w:val="0"/>
          <w:strike w:val="0"/>
          <w:sz w:val="26"/>
          <w:u w:val="single"/>
        </w:rPr>
        <w:t>months away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King, 5/28</w:t>
      </w:r>
      <w:r>
        <w:rPr>
          <w:b w:val="0"/>
          <w:i w:val="0"/>
          <w:smallCaps w:val="0"/>
          <w:strike w:val="0"/>
          <w:u w:val="none"/>
        </w:rPr>
        <w:t>/2024 (Savannah Behrmann, Ledyard King, Lauren Green, Erin Durkin, this particular section written by Ledyard King, NJ Daily Extra, “OUTLOOK: Border to remain a focus in the Senate with no real solution on the horizon,” Document CNGA000020240530ek5s00003, factiva database, JMP))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Of course, </w:t>
      </w:r>
      <w:r>
        <w:rPr>
          <w:b w:val="0"/>
          <w:i w:val="0"/>
          <w:smallCaps w:val="0"/>
          <w:strike w:val="0"/>
          <w:sz w:val="22"/>
          <w:u w:val="single"/>
        </w:rPr>
        <w:t>there’s not a lot on the legislative plate right now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The most contentious bills</w:t>
      </w:r>
      <w:r>
        <w:rPr>
          <w:b w:val="0"/>
          <w:i w:val="0"/>
          <w:smallCaps w:val="0"/>
          <w:strike w:val="0"/>
          <w:u w:val="none"/>
        </w:rPr>
        <w:t>—on Ukraine funding, on 2024 spending, and on reauthorization of the Federal Aviation Administration—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just been dealt with. And the bigger hurdles, such as the farm bill, are </w:t>
      </w:r>
      <w:r>
        <w:rPr>
          <w:b/>
          <w:i w:val="0"/>
          <w:smallCaps w:val="0"/>
          <w:strike w:val="0"/>
          <w:sz w:val="22"/>
          <w:u w:val="single"/>
        </w:rPr>
        <w:t>months away from serious negotiation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