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alternative is</w:t>
      </w:r>
      <w:r>
        <w:rPr>
          <w:b/>
          <w:i w:val="0"/>
          <w:smallCaps w:val="0"/>
          <w:strike w:val="0"/>
          <w:sz w:val="26"/>
          <w:u w:val="none"/>
        </w:rPr>
        <w:t xml:space="preserve"> to reject the universalizing discourses of anti-capitalism through feminist discourse analysis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Griffin, 2015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(Penny, Senior Lecturer in International Relations at the University of New South Wales, Australia. “crisis, austerity and gendered governance: a feminist perspective,” in </w:t>
      </w:r>
      <w:r>
        <w:rPr>
          <w:b w:val="0"/>
          <w:i/>
          <w:smallCaps w:val="0"/>
          <w:strike w:val="0"/>
          <w:sz w:val="22"/>
          <w:u w:val="none"/>
        </w:rPr>
        <w:t xml:space="preserve">feminist review </w:t>
      </w:r>
      <w:r>
        <w:rPr>
          <w:b w:val="0"/>
          <w:i w:val="0"/>
          <w:smallCaps w:val="0"/>
          <w:strike w:val="0"/>
          <w:sz w:val="22"/>
          <w:u w:val="none"/>
        </w:rPr>
        <w:t>109: 49-72, spp)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Adding to this extensive body of feminist literature, this paper interrogates crisis governance as discursively gendered, and the effects of this.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discursive approach is significant because it does not assume,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per liberal approaches, a foundational economic rationality to economic strategy, or,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per Marxism, the central truth of class struggle as universal.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discursive approach that centralises gender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understanding the reproduction of crisis governance discourses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under- stands governance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its outcomes as a complex amalgamation of meaning and practice,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founded 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y and reproduced through culturally produced and pervasively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gendered ideas, assumptions and values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world.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commitment to non- essentialism challenges, at fundamental and unsettling levels, some of the core categories of conventional forms of analysis.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contrasts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mainstream (international political economy) scholarship’s framing of human behaviour in terms of faceless, desocialised units of analysis and its reproduction of a model of society as a self-regulating machine explainable by scientific laws adapted from modern philosophy and Newtonian science. It also contrasts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critical scholar- ship’s preference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Marxist view of economic relations as (pre)determined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nature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class struggle.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materialist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(feminist) approaches articulate women’s disprivilege as a historical constant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something of a cultural given,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discourse analysis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gendered governance,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instead,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understands privilege, discrimination and inequality as socially, and culturally, produced and variable across time and place, resisting the rooting of economic relations in class relations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greater interest in the gendered cultural practices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(including gendered recruitment and promotion practices, discriminatory forms of lending, gendered assessments of credit worthiness and so on)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enable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reproduction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gendered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global political economy.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discursive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gender and governance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necessitates the analysis of 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standards in the global political economy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true, essential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universal</w:t>
      </w:r>
      <w:r>
        <w:rPr>
          <w:b w:val="0"/>
          <w:i w:val="0"/>
          <w:smallCaps w:val="0"/>
          <w:strike w:val="0"/>
          <w:sz w:val="22"/>
          <w:u w:val="single"/>
        </w:rPr>
        <w:t>, but a committed critique of which reveals as power-laden, regulatory and highly restrictive identity categories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(Griffin, 2009: 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Rather than positing the primacy of ‘the economic’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swallows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whole concepts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culture, gender, race, production, consumption and representation</w:t>
      </w:r>
      <w:r>
        <w:rPr>
          <w:b w:val="0"/>
          <w:i w:val="0"/>
          <w:smallCaps w:val="0"/>
          <w:strike w:val="0"/>
          <w:sz w:val="22"/>
          <w:u w:val="single"/>
        </w:rPr>
        <w:t>, this paper looks to the cultural conditions of embodiments of capitalism, specifically neo- liberal global governance and the discourses of governance that neo-liberalism reproduces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 be sure, these discourses emanate from various and diverse actors, institutions, organisations and initiatives, including individual (state) governments and groupings of these (such as the G7 and G10); supra-national bureaucracies such as the European Union (EU); intergovernmental organisations such as the World Bank, the International Monetary Fund (IMF), the Organisation for Economic Cooperation and Development (OECD) and the UN; non-governmental organisations such as the World Economic Forum (WEF); and private financial governance initiatives (which are not available for public scrutiny) such as those instituted by the Bank for International Settlements and the International Organization of Securities Commissions. </w:t>
      </w:r>
      <w:r>
        <w:rPr>
          <w:b w:val="0"/>
          <w:i w:val="0"/>
          <w:smallCaps w:val="0"/>
          <w:strike w:val="0"/>
          <w:sz w:val="22"/>
          <w:u w:val="single"/>
        </w:rPr>
        <w:t>By asking us to confront in quite radical and imaginative ways how we know what we think we know and thus what we exclude from our analyses, a discursive research strategy is always strongly political.</w:t>
      </w:r>
    </w:p>
    <w:p>
      <w:pPr>
        <w:pStyle w:val="Caption"/>
      </w:pPr>
      <w:r>
        <w:t>Source: Feminism K vs Marx Affs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