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Duration is included in the Park Index---which can measure.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Lesser ’11</w:t>
      </w:r>
      <w:r>
        <w:rPr>
          <w:b w:val="0"/>
          <w:i w:val="0"/>
          <w:smallCaps w:val="0"/>
          <w:strike w:val="0"/>
          <w:u w:val="none"/>
        </w:rPr>
        <w:t xml:space="preserve"> [Wiliam; 2011; </w:t>
      </w:r>
      <w:r>
        <w:rPr>
          <w:b w:val="0"/>
          <w:i w:val="0"/>
          <w:smallCaps w:val="0"/>
          <w:strike w:val="0"/>
          <w:u w:val="none"/>
        </w:rPr>
        <w:t>Susan E. Lynch Professor in Science and Business, Dyson School of Applied Economics and Management, Cornell University</w:t>
      </w:r>
      <w:r>
        <w:rPr>
          <w:b w:val="0"/>
          <w:i w:val="0"/>
          <w:smallCaps w:val="0"/>
          <w:strike w:val="0"/>
          <w:u w:val="none"/>
        </w:rPr>
        <w:t>; Journal of Business, Entrepreneurship and the Law, “</w:t>
      </w:r>
      <w:r>
        <w:rPr>
          <w:b w:val="0"/>
          <w:i w:val="0"/>
          <w:smallCaps w:val="0"/>
          <w:strike w:val="0"/>
          <w:u w:val="none"/>
        </w:rPr>
        <w:t>Measuring Intellectual Property 'Strength' and Effects: An Assessment of Patent Scoring Systems and Causality,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4 J. Bus. Entrepreneurship &amp; L. </w:t>
      </w:r>
      <w:r>
        <w:rPr>
          <w:b w:val="0"/>
          <w:i w:val="0"/>
          <w:smallCaps w:val="0"/>
          <w:strike w:val="0"/>
          <w:u w:val="none"/>
        </w:rPr>
        <w:t>Iss</w:t>
      </w:r>
      <w:r>
        <w:rPr>
          <w:b w:val="0"/>
          <w:i w:val="0"/>
          <w:smallCaps w:val="0"/>
          <w:strike w:val="0"/>
          <w:u w:val="none"/>
        </w:rPr>
        <w:t>. 2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Lesser39 </w:t>
      </w:r>
      <w:r>
        <w:rPr>
          <w:b w:val="0"/>
          <w:i w:val="0"/>
          <w:smallCaps w:val="0"/>
          <w:strike w:val="0"/>
          <w:sz w:val="22"/>
          <w:u w:val="single"/>
        </w:rPr>
        <w:t>in constructing a new scoring system to reflect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patent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post-TRIPS era noted prior scores typically have in common the following components: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protectable subject matter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convention membership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enforcement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administration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2"/>
          <w:u w:val="single"/>
        </w:rPr>
        <w:t>duration of protection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Harmonization under TRIPS simplifies some inputs into the index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TRIPS40 sets the duration of patent protection at twenty years from first application so that an indication of TRIPS compliance by a country captures the duration factor as well as serving as a proxy for protectable subject matter. However, </w:t>
      </w:r>
      <w:r>
        <w:rPr>
          <w:b w:val="0"/>
          <w:i w:val="0"/>
          <w:smallCaps w:val="0"/>
          <w:strike w:val="0"/>
          <w:sz w:val="22"/>
          <w:u w:val="single"/>
        </w:rPr>
        <w:t>as countries have the option of protecting plants with patents or an ‘effective sui generis system,’ or both,</w:t>
      </w:r>
      <w:r>
        <w:rPr>
          <w:b w:val="0"/>
          <w:i w:val="0"/>
          <w:smallCaps w:val="0"/>
          <w:strike w:val="0"/>
          <w:u w:val="none"/>
        </w:rPr>
        <w:t>41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is important to identify the choice made.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Most countries are opting for Plant Breeders’ Rights rather than patents for plants for which membership in UPOV, the international convention, is a strong indicator if not actually required. India for example has a Protection of Plant Varieties and Farmers’ Rights Act of 200142 but is not a member of UPOV.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Additional and more current information on enforcement issues was needed so a </w:t>
      </w:r>
      <w:r>
        <w:rPr>
          <w:b w:val="0"/>
          <w:i w:val="0"/>
          <w:smallCaps w:val="0"/>
          <w:strike w:val="0"/>
          <w:sz w:val="22"/>
          <w:u w:val="single"/>
        </w:rPr>
        <w:t>practitioners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survey was developed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survey was sent to patent attorneys and licensing executives of biotechnology firms in the U.S. and Europe following an extensive period of instrument development and in-person interviews. Public sector licensing officers were contacted as well. In total, seventeen surveys and interviews were distributed with a response rate of fifty-nine percent. Biotechnology firms (pharmaceutical and agricultural) are an appropriate response group because the </w:t>
      </w:r>
      <w:r>
        <w:rPr>
          <w:b/>
          <w:i w:val="0"/>
          <w:smallCaps w:val="0"/>
          <w:strike w:val="0"/>
          <w:sz w:val="22"/>
          <w:u w:val="single"/>
        </w:rPr>
        <w:t>importance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IPR </w:t>
      </w:r>
      <w:r>
        <w:rPr>
          <w:b/>
          <w:i w:val="0"/>
          <w:smallCaps w:val="0"/>
          <w:strike w:val="0"/>
          <w:sz w:val="22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that sector means a high level of awareness of technology transfer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survey results emphasized how important a factor the enforceability of IP statutes is in a country. </w:t>
      </w:r>
      <w:r>
        <w:rPr>
          <w:b/>
          <w:i w:val="0"/>
          <w:smallCaps w:val="0"/>
          <w:strike w:val="0"/>
          <w:sz w:val="22"/>
          <w:u w:val="single"/>
        </w:rPr>
        <w:t>Slowness of a national court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poor standing of a foreign plaintiff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lack of </w:t>
      </w:r>
      <w:r>
        <w:rPr>
          <w:b/>
          <w:i w:val="0"/>
          <w:smallCaps w:val="0"/>
          <w:strike w:val="0"/>
          <w:sz w:val="22"/>
          <w:u w:val="single"/>
        </w:rPr>
        <w:t>technical competence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enforce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judgment once made were all reasons to </w:t>
      </w:r>
      <w:r>
        <w:rPr>
          <w:b/>
          <w:i w:val="0"/>
          <w:smallCaps w:val="0"/>
          <w:strike w:val="0"/>
          <w:sz w:val="22"/>
          <w:u w:val="single"/>
        </w:rPr>
        <w:t>downgrade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effectiveness of a national system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Applying factor analysis to generate weights for a four component model indicated that the PCT component was redundant in the sense that it added little to the explained variance (up twenty percentage points and giving a weighting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nearly one (.997)).70 This means that for the 142 PCT members – accounting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nearly all countries in the current data set – the index is increased by one point (.997). Dropping it leaves three components with, in this case, a three-factor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model with an </w:t>
      </w:r>
      <w:r>
        <w:rPr>
          <w:b w:val="0"/>
          <w:i w:val="0"/>
          <w:smallCaps w:val="0"/>
          <w:strike w:val="0"/>
          <w:sz w:val="16"/>
          <w:u w:val="none"/>
        </w:rPr>
        <w:t>equamax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rotation.71 This provides results which could be described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terms of the expected underlying relationships as follows: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Factor 1 (35%): </w:t>
      </w:r>
      <w:r>
        <w:rPr>
          <w:b/>
          <w:i w:val="0"/>
          <w:smallCaps w:val="0"/>
          <w:strike w:val="0"/>
          <w:sz w:val="22"/>
          <w:u w:val="single"/>
        </w:rPr>
        <w:t>Scope</w:t>
      </w:r>
      <w:r>
        <w:rPr>
          <w:b w:val="0"/>
          <w:i w:val="0"/>
          <w:smallCaps w:val="0"/>
          <w:strike w:val="0"/>
          <w:sz w:val="16"/>
          <w:u w:val="none"/>
        </w:rPr>
        <w:t>, weighing most heavily on UPOV and TRIPS compliance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Factor 2 (28%): </w:t>
      </w:r>
      <w:r>
        <w:rPr>
          <w:b/>
          <w:i w:val="0"/>
          <w:smallCaps w:val="0"/>
          <w:strike w:val="0"/>
          <w:sz w:val="22"/>
          <w:u w:val="single"/>
        </w:rPr>
        <w:t>Enforcement</w:t>
      </w:r>
      <w:r>
        <w:rPr>
          <w:b w:val="0"/>
          <w:i w:val="0"/>
          <w:smallCaps w:val="0"/>
          <w:strike w:val="0"/>
          <w:sz w:val="16"/>
          <w:u w:val="none"/>
        </w:rPr>
        <w:t>, weighing most heavily on the CPI Factor 3 (27%): Institution, patent office efficiency/ sophistication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factor weights, which explain a total of ninety percent of the variance of the variables, are shown in Table 1.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aggregate factor values (communality) are used to weigh the individual index components in generating the IP score; that is, the computed communality value from Table 1 is for each country analyzed multiplied by the data value for that country. The weights have the intuitive appeal that the near-greatest </w:t>
      </w:r>
      <w:r>
        <w:rPr>
          <w:b w:val="0"/>
          <w:i w:val="0"/>
          <w:smallCaps w:val="0"/>
          <w:strike w:val="0"/>
          <w:sz w:val="16"/>
          <w:u w:val="none"/>
        </w:rPr>
        <w:t>weight  placed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CPI, a proxy for the enforceability of IPR, which the survey respondents indicated as the most significant aspect of the effectiveness of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 the national level.72 As significant is patent office efficiency/sophistication. Compared to the 2002 index, this component has become more significant, but since the variable used to measure it has changed no direct comparison can be made.73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three factors can, alternatively, be viewed as </w:t>
      </w:r>
      <w:r>
        <w:rPr>
          <w:b/>
          <w:i w:val="0"/>
          <w:smallCaps w:val="0"/>
          <w:strike w:val="0"/>
          <w:sz w:val="22"/>
          <w:u w:val="single"/>
        </w:rPr>
        <w:t>differing approaches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strengthening patent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Countries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(1) </w:t>
      </w:r>
      <w:r>
        <w:rPr>
          <w:b w:val="0"/>
          <w:i w:val="0"/>
          <w:smallCaps w:val="0"/>
          <w:strike w:val="0"/>
          <w:sz w:val="22"/>
          <w:u w:val="single"/>
        </w:rPr>
        <w:t>join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/implement </w:t>
      </w:r>
      <w:r>
        <w:rPr>
          <w:b/>
          <w:i w:val="0"/>
          <w:smallCaps w:val="0"/>
          <w:strike w:val="0"/>
          <w:sz w:val="22"/>
          <w:u w:val="single"/>
        </w:rPr>
        <w:t>international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(TRIPS, UPOV), (2)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enhance the operation of their patent </w:t>
      </w:r>
      <w:r>
        <w:rPr>
          <w:b w:val="0"/>
          <w:i w:val="0"/>
          <w:smallCaps w:val="0"/>
          <w:strike w:val="0"/>
          <w:sz w:val="22"/>
          <w:u w:val="single"/>
        </w:rPr>
        <w:t>offices, 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(3) </w:t>
      </w:r>
      <w:r>
        <w:rPr>
          <w:b w:val="0"/>
          <w:i w:val="0"/>
          <w:smallCaps w:val="0"/>
          <w:strike w:val="0"/>
          <w:sz w:val="22"/>
          <w:u w:val="single"/>
        </w:rPr>
        <w:t>improve enforcement by reducing corruption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.74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strongest rights of course are achievable only by being well established in </w:t>
      </w:r>
      <w:r>
        <w:rPr>
          <w:b/>
          <w:i w:val="0"/>
          <w:smallCaps w:val="0"/>
          <w:strike w:val="0"/>
          <w:sz w:val="22"/>
          <w:u w:val="single"/>
        </w:rPr>
        <w:t>all three dimension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not </w:t>
      </w:r>
      <w:r>
        <w:rPr>
          <w:b w:val="0"/>
          <w:i w:val="0"/>
          <w:smallCaps w:val="0"/>
          <w:strike w:val="0"/>
          <w:sz w:val="22"/>
          <w:u w:val="single"/>
        </w:rPr>
        <w:t>all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presently </w:t>
      </w:r>
      <w:r>
        <w:rPr>
          <w:b w:val="0"/>
          <w:i w:val="0"/>
          <w:smallCaps w:val="0"/>
          <w:strike w:val="0"/>
          <w:sz w:val="22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strong systems and hence have alternative </w:t>
      </w:r>
      <w:r>
        <w:rPr>
          <w:b w:val="0"/>
          <w:i w:val="0"/>
          <w:smallCaps w:val="0"/>
          <w:strike w:val="0"/>
          <w:sz w:val="22"/>
          <w:u w:val="single"/>
        </w:rPr>
        <w:t>paths available for strengthening them</w:t>
      </w:r>
      <w:r>
        <w:rPr>
          <w:b w:val="0"/>
          <w:i w:val="0"/>
          <w:smallCaps w:val="0"/>
          <w:strike w:val="0"/>
          <w:sz w:val="16"/>
          <w:u w:val="none"/>
        </w:rPr>
        <w:t>. For example</w:t>
      </w:r>
      <w:r>
        <w:rPr>
          <w:b w:val="0"/>
          <w:i w:val="0"/>
          <w:smallCaps w:val="0"/>
          <w:strike w:val="0"/>
          <w:sz w:val="22"/>
          <w:u w:val="single"/>
        </w:rPr>
        <w:t>, they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matter of degrees focus first directly on patent systems by say fully implementing TRIPS, or </w:t>
      </w:r>
      <w:r>
        <w:rPr>
          <w:b w:val="0"/>
          <w:i w:val="0"/>
          <w:smallCaps w:val="0"/>
          <w:strike w:val="0"/>
          <w:sz w:val="22"/>
          <w:u w:val="single"/>
        </w:rPr>
        <w:t>they may first tackle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/corruption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then shift attention to the patent </w:t>
      </w:r>
      <w:r>
        <w:rPr>
          <w:b w:val="0"/>
          <w:i w:val="0"/>
          <w:smallCaps w:val="0"/>
          <w:strike w:val="0"/>
          <w:sz w:val="22"/>
          <w:u w:val="single"/>
        </w:rPr>
        <w:t>system in particular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Which approaches are </w:t>
      </w:r>
      <w:r>
        <w:rPr>
          <w:b w:val="0"/>
          <w:i w:val="0"/>
          <w:smallCaps w:val="0"/>
          <w:strike w:val="0"/>
          <w:sz w:val="16"/>
          <w:u w:val="none"/>
        </w:rPr>
        <w:t>pursued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consequences are explored further in Section III.75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resulting index values, referred to here as the ‘Cortez Patent Index,’ are presented in Table 2 for 148 countries in 2009. The country selection was determined largely by data availability, but some countries in non-equilibrium states (like Afghanistan) were dropped, as were very small and fledgling states like Vanuatu.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