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IP protection includes </w:t>
      </w:r>
      <w:r>
        <w:rPr>
          <w:b/>
          <w:i/>
          <w:smallCaps w:val="0"/>
          <w:strike w:val="0"/>
          <w:sz w:val="26"/>
          <w:u w:val="single"/>
        </w:rPr>
        <w:t>term maintenance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Array Biopharma Inc 99</w:t>
      </w:r>
      <w:r>
        <w:rPr>
          <w:b w:val="0"/>
          <w:i w:val="0"/>
          <w:smallCaps w:val="0"/>
          <w:strike w:val="0"/>
          <w:u w:val="none"/>
        </w:rPr>
        <w:t xml:space="preserve"> [Array Biopharma Inc; 4/22/1999; Law Insider; “Recitals”; https://www.lawinsider.com/contracts/gpKRiGv9XSg#intellectual-property-protection]</w:t>
      </w:r>
      <w:r>
        <w:rPr>
          <w:b w:val="0"/>
          <w:i w:val="0"/>
          <w:smallCaps w:val="0"/>
          <w:strike w:val="0"/>
          <w:u w:val="none"/>
        </w:rPr>
        <w:t>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1.15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>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shall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application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prosecution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(including, without limitation, all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interference actions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term maintenance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defense and enforcement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U.S. and foreign patent applications and patents arising therefrom,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establishment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 of trade secrets and other forms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intellectual property rights.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