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net effect of IPR is nearly impossible to quantify.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Beer 16</w:t>
      </w:r>
      <w:r>
        <w:rPr>
          <w:b w:val="0"/>
          <w:i w:val="0"/>
          <w:smallCaps w:val="0"/>
          <w:strike w:val="0"/>
          <w:u w:val="none"/>
        </w:rPr>
        <w:t xml:space="preserve"> [Jeremy de; 12/29/2016; </w:t>
      </w:r>
      <w:r>
        <w:rPr>
          <w:b w:val="0"/>
          <w:i/>
          <w:smallCaps w:val="0"/>
          <w:strike w:val="0"/>
          <w:u w:val="none"/>
        </w:rPr>
        <w:t>The Journal of World Intellectual Property</w:t>
      </w:r>
      <w:r>
        <w:rPr>
          <w:b w:val="0"/>
          <w:i w:val="0"/>
          <w:smallCaps w:val="0"/>
          <w:strike w:val="0"/>
          <w:u w:val="none"/>
        </w:rPr>
        <w:t xml:space="preserve"> – Vol 19 Issue 5-6; “Evidence-Based Intellectual Property Policymaking: An Integrated Review of Methods and Conclusions”; </w:t>
      </w:r>
      <w:r>
        <w:rPr>
          <w:b w:val="0"/>
          <w:i w:val="0"/>
          <w:smallCaps w:val="0"/>
          <w:strike w:val="0"/>
          <w:u w:val="none"/>
        </w:rPr>
        <w:t>https://onlinelibrary.wiley.com/doi/full/10.1111/jwip.12069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United States has also undertaken efforts to promote evidence-based IP policymaking. When Congress passed legislation known as the PRO-IP Act, the US Government Accountability Office (US GAO) was directed to provide information on one particular IP issue: quantifying the impacts of counterfeit and pirated goods.1 After careful study, the US GAO (2010) reported that “despite significant efforts, it is difficult, if not </w:t>
      </w:r>
      <w:r>
        <w:rPr>
          <w:b/>
          <w:i w:val="0"/>
          <w:smallCaps w:val="0"/>
          <w:strike w:val="0"/>
          <w:sz w:val="22"/>
          <w:u w:val="single"/>
        </w:rPr>
        <w:t>impossible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to quantify the net effect of counterfeiting and piracy on the economy as a whole</w:t>
      </w:r>
      <w:r>
        <w:rPr>
          <w:b w:val="0"/>
          <w:i w:val="0"/>
          <w:smallCaps w:val="0"/>
          <w:strike w:val="0"/>
          <w:sz w:val="22"/>
          <w:u w:val="single"/>
        </w:rPr>
        <w:t>” (p. 27). Indeed, on examination, the US Government could not substantiate its widely cited estimates of the economic impact of counterfeiting and piracy problems. The PRO-IP Act also mandated the office of an Intellectual Property Enforcement Coordinator (IPEC) to develop strategic policy. In doing so, the “IP Czar”, as she was colloquially known, began with a public call for data and ways to measure IP infringement threats, promoted on the White House blog (Espinel, 2010, pp. 66–8).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