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4"/>
        <w:spacing w:after="60"/>
      </w:pPr>
      <w:r>
        <w:rPr>
          <w:b/>
          <w:i w:val="0"/>
          <w:smallCaps w:val="0"/>
          <w:strike w:val="0"/>
          <w:sz w:val="24"/>
          <w:u w:val="none"/>
        </w:rPr>
        <w:t xml:space="preserve">US leads in start-ups and funding trending down in competitor nations. </w:t>
      </w:r>
    </w:p>
    <w:p>
      <w:pPr>
        <w:spacing w:after="80"/>
      </w:pPr>
      <w:r>
        <w:rPr>
          <w:b/>
          <w:i w:val="0"/>
          <w:smallCaps w:val="0"/>
          <w:strike w:val="0"/>
          <w:sz w:val="24"/>
          <w:u w:val="none"/>
        </w:rPr>
        <w:t>Lu 24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(Marcus is a content strategist for Visual Capitalist, focusing primarily on economics and investing. Before joining Visual Capitalist, he worked in business development for a Canadian institutional asset manager.) “Mapped: The Number of AI Startups By Country” May 6, 2024 https://www.visualcapitalist.com/mapped-the-number-of-ai-startups-by-country/ // </w:t>
      </w:r>
      <w:r>
        <w:rPr>
          <w:b w:val="0"/>
          <w:i w:val="0"/>
          <w:smallCaps w:val="0"/>
          <w:strike w:val="0"/>
          <w:sz w:val="16"/>
          <w:u w:val="none"/>
        </w:rPr>
        <w:t>ZX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From this data, we can see that the U.S., China, and UK have established themselves as major hotbeds for AI innovation.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16"/>
          <w:u w:val="none"/>
        </w:rPr>
        <w:t>In terms of funding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the U.S. is massively ahead,</w:t>
      </w:r>
      <w:r>
        <w:rPr>
          <w:b w:val="0"/>
          <w:i w:val="0"/>
          <w:smallCaps w:val="0"/>
          <w:strike w:val="0"/>
          <w:sz w:val="16"/>
          <w:highlight w:val="cyan"/>
          <w:u w:val="non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with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private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AI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investment totaling $335 billion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between 2013 to 2023. AI startups in China raised $104 billion over the same timeframe, while those in the UK raised $22 billion.</w:t>
      </w:r>
    </w:p>
    <w:p>
      <w:pPr>
        <w:spacing w:after="60"/>
      </w:pP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Further analysis reveals that the U.S. is widening this gap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even more. In 2023, for example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, private 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 xml:space="preserve">investment in the U.S. grew by 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22%</w:t>
      </w:r>
      <w:r>
        <w:rPr>
          <w:b w:val="0"/>
          <w:i w:val="0"/>
          <w:smallCaps w:val="0"/>
          <w:strike w:val="0"/>
          <w:sz w:val="16"/>
          <w:u w:val="none"/>
        </w:rPr>
        <w:t xml:space="preserve"> from 2022 levels. </w:t>
      </w:r>
      <w:r>
        <w:rPr>
          <w:b w:val="0"/>
          <w:i w:val="0"/>
          <w:smallCaps w:val="0"/>
          <w:strike w:val="0"/>
          <w:sz w:val="20"/>
          <w:u w:val="single"/>
        </w:rPr>
        <w:t>Mean</w:t>
      </w:r>
      <w:r>
        <w:rPr>
          <w:b w:val="0"/>
          <w:i w:val="0"/>
          <w:smallCaps w:val="0"/>
          <w:strike w:val="0"/>
          <w:sz w:val="20"/>
          <w:highlight w:val="cyan"/>
          <w:u w:val="single"/>
        </w:rPr>
        <w:t>while, investment fell in China (</w:t>
      </w:r>
      <w:r>
        <w:rPr>
          <w:b/>
          <w:i w:val="0"/>
          <w:smallCaps w:val="0"/>
          <w:strike w:val="0"/>
          <w:sz w:val="20"/>
          <w:highlight w:val="cyan"/>
          <w:u w:val="single"/>
        </w:rPr>
        <w:t>-44%)</w:t>
      </w:r>
      <w:r>
        <w:rPr>
          <w:b w:val="0"/>
          <w:i w:val="0"/>
          <w:smallCaps w:val="0"/>
          <w:strike w:val="0"/>
          <w:sz w:val="20"/>
          <w:u w:val="single"/>
        </w:rPr>
        <w:t xml:space="preserve"> and the UK (-14.1%)</w:t>
      </w:r>
      <w:r>
        <w:rPr>
          <w:b w:val="0"/>
          <w:i w:val="0"/>
          <w:smallCaps w:val="0"/>
          <w:strike w:val="0"/>
          <w:sz w:val="16"/>
          <w:u w:val="none"/>
        </w:rPr>
        <w:t xml:space="preserve"> over the same time span.</w:t>
      </w:r>
    </w:p>
    <w:p>
      <w:pPr>
        <w:pStyle w:val="Caption"/>
      </w:pPr>
      <w:r>
        <w:t>Source: Innovation Good Bad - AGI - Michigan 2024 BFHR · Michigan · 2024</w:t>
      </w:r>
    </w:p>
    <w:sectPr w:rsidR="00FC693F" w:rsidRPr="0006063C" w:rsidSect="00034616">
      <w:pgSz w:w="12240" w:h="15840"/>
      <w:pgMar w:top="720" w:right="840" w:bottom="720" w:left="8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