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single"/>
        </w:rPr>
        <w:t>CITIZENSHIP DA</w:t>
      </w:r>
      <w:r>
        <w:rPr>
          <w:b/>
          <w:i w:val="0"/>
          <w:smallCaps w:val="0"/>
          <w:strike w:val="0"/>
          <w:u w:val="none"/>
        </w:rPr>
        <w:t xml:space="preserve">. The perm </w:t>
      </w:r>
      <w:r>
        <w:rPr>
          <w:b/>
          <w:i w:val="0"/>
          <w:smallCaps w:val="0"/>
          <w:strike w:val="0"/>
          <w:u w:val="single"/>
        </w:rPr>
        <w:t>recreates</w:t>
      </w:r>
      <w:r>
        <w:rPr>
          <w:b/>
          <w:i w:val="0"/>
          <w:smallCaps w:val="0"/>
          <w:strike w:val="0"/>
          <w:u w:val="none"/>
        </w:rPr>
        <w:t xml:space="preserve"> colonial divisions by folding the alt into the subject categories of IP law. The alt </w:t>
      </w:r>
      <w:r>
        <w:rPr>
          <w:b/>
          <w:i w:val="0"/>
          <w:smallCaps w:val="0"/>
          <w:strike w:val="0"/>
          <w:u w:val="single"/>
        </w:rPr>
        <w:t>alone</w:t>
      </w:r>
      <w:r>
        <w:rPr>
          <w:b/>
          <w:i w:val="0"/>
          <w:smallCaps w:val="0"/>
          <w:strike w:val="0"/>
          <w:u w:val="none"/>
        </w:rPr>
        <w:t xml:space="preserve"> is key.</w:t>
      </w:r>
    </w:p>
    <w:p>
      <w:pPr>
        <w:spacing w:after="80"/>
      </w:pPr>
      <w:r>
        <w:rPr>
          <w:b/>
          <w:i w:val="0"/>
          <w:smallCaps w:val="0"/>
          <w:strike w:val="0"/>
          <w:sz w:val="22"/>
          <w:u w:val="none"/>
        </w:rPr>
        <w:t>Vats, 20</w:t>
      </w:r>
      <w:r>
        <w:rPr>
          <w:b w:val="0"/>
          <w:i w:val="0"/>
          <w:smallCaps w:val="0"/>
          <w:strike w:val="0"/>
          <w:u w:val="none"/>
        </w:rPr>
        <w:t xml:space="preserve">—Assistant Professor of Communication and African and African Diaspora Studies and Assistant Professor of Law at Boston College (Anjali, “Creating Intellectual Property, Creating Americans,” </w:t>
      </w:r>
      <w:r>
        <w:rPr>
          <w:b w:val="0"/>
          <w:i/>
          <w:smallCaps w:val="0"/>
          <w:strike w:val="0"/>
          <w:u w:val="none"/>
        </w:rPr>
        <w:t>The Color of Creatorship: Intellectual Property, Race, and the Making of Americans</w:t>
      </w:r>
      <w:r>
        <w:rPr>
          <w:b w:val="0"/>
          <w:i w:val="0"/>
          <w:smallCaps w:val="0"/>
          <w:strike w:val="0"/>
          <w:u w:val="none"/>
        </w:rPr>
        <w:t>, Conclusion, pp. 198-199, dml)</w:t>
      </w:r>
    </w:p>
    <w:p>
      <w:pPr>
        <w:spacing w:after="60"/>
      </w:pPr>
      <w:r>
        <w:rPr>
          <w:b w:val="0"/>
          <w:i w:val="0"/>
          <w:smallCaps w:val="0"/>
          <w:strike w:val="0"/>
          <w:sz w:val="14"/>
          <w:u w:val="none"/>
        </w:rPr>
        <w:t xml:space="preserve">Because </w:t>
      </w:r>
      <w:r>
        <w:rPr>
          <w:b w:val="0"/>
          <w:i w:val="0"/>
          <w:smallCaps w:val="0"/>
          <w:strike w:val="0"/>
          <w:sz w:val="22"/>
          <w:u w:val="single"/>
        </w:rPr>
        <w:t>claims to citizenship</w:t>
      </w:r>
      <w:r>
        <w:rPr>
          <w:b w:val="0"/>
          <w:i w:val="0"/>
          <w:smallCaps w:val="0"/>
          <w:strike w:val="0"/>
          <w:sz w:val="14"/>
          <w:u w:val="none"/>
        </w:rPr>
        <w:t xml:space="preserve"> are always already, by virtue of managing questions of belonging, couched in terms of proving that those who are Other are not Other, they </w:t>
      </w:r>
      <w:r>
        <w:rPr>
          <w:b w:val="0"/>
          <w:i w:val="0"/>
          <w:smallCaps w:val="0"/>
          <w:strike w:val="0"/>
          <w:sz w:val="22"/>
          <w:u w:val="single"/>
        </w:rPr>
        <w:t xml:space="preserve">often involve drawing distinctions that </w:t>
      </w:r>
      <w:r>
        <w:rPr>
          <w:b/>
          <w:i w:val="0"/>
          <w:smallCaps w:val="0"/>
          <w:strike w:val="0"/>
          <w:sz w:val="22"/>
          <w:u w:val="single"/>
        </w:rPr>
        <w:t>reinforce existing exclusions</w:t>
      </w:r>
      <w:r>
        <w:rPr>
          <w:b w:val="0"/>
          <w:i w:val="0"/>
          <w:smallCaps w:val="0"/>
          <w:strike w:val="0"/>
          <w:sz w:val="22"/>
          <w:u w:val="single"/>
        </w:rPr>
        <w:t xml:space="preserve"> instead of </w:t>
      </w:r>
      <w:r>
        <w:rPr>
          <w:b/>
          <w:i w:val="0"/>
          <w:smallCaps w:val="0"/>
          <w:strike w:val="0"/>
          <w:sz w:val="22"/>
          <w:u w:val="single"/>
        </w:rPr>
        <w:t>embracing humanness</w:t>
      </w:r>
      <w:r>
        <w:rPr>
          <w:b w:val="0"/>
          <w:i w:val="0"/>
          <w:smallCaps w:val="0"/>
          <w:strike w:val="0"/>
          <w:sz w:val="22"/>
          <w:u w:val="single"/>
        </w:rPr>
        <w:t xml:space="preserve"> as a space of profound difference</w:t>
      </w:r>
      <w:r>
        <w:rPr>
          <w:b w:val="0"/>
          <w:i w:val="0"/>
          <w:smallCaps w:val="0"/>
          <w:strike w:val="0"/>
          <w:sz w:val="14"/>
          <w:u w:val="none"/>
        </w:rPr>
        <w:t xml:space="preserve">. </w:t>
      </w:r>
      <w:r>
        <w:rPr>
          <w:b w:val="0"/>
          <w:i w:val="0"/>
          <w:smallCaps w:val="0"/>
          <w:strike w:val="0"/>
          <w:sz w:val="22"/>
          <w:u w:val="single"/>
        </w:rPr>
        <w:t>Citizenship requires norms that are</w:t>
      </w:r>
      <w:r>
        <w:rPr>
          <w:b w:val="0"/>
          <w:i w:val="0"/>
          <w:smallCaps w:val="0"/>
          <w:strike w:val="0"/>
          <w:sz w:val="14"/>
          <w:u w:val="none"/>
        </w:rPr>
        <w:t xml:space="preserve"> “</w:t>
      </w:r>
      <w:r>
        <w:rPr>
          <w:b/>
          <w:i w:val="0"/>
          <w:smallCaps w:val="0"/>
          <w:strike w:val="0"/>
          <w:sz w:val="22"/>
          <w:u w:val="single"/>
        </w:rPr>
        <w:t>brutally enforced</w:t>
      </w:r>
      <w:r>
        <w:rPr>
          <w:b w:val="0"/>
          <w:i w:val="0"/>
          <w:smallCaps w:val="0"/>
          <w:strike w:val="0"/>
          <w:sz w:val="22"/>
          <w:u w:val="single"/>
        </w:rPr>
        <w:t xml:space="preserve"> against non-normative</w:t>
      </w:r>
      <w:r>
        <w:rPr>
          <w:b w:val="0"/>
          <w:i w:val="0"/>
          <w:smallCaps w:val="0"/>
          <w:strike w:val="0"/>
          <w:sz w:val="14"/>
          <w:u w:val="none"/>
        </w:rPr>
        <w:t xml:space="preserve"> bodies, practices, behaviors, and </w:t>
      </w:r>
      <w:r>
        <w:rPr>
          <w:b w:val="0"/>
          <w:i w:val="0"/>
          <w:smallCaps w:val="0"/>
          <w:strike w:val="0"/>
          <w:sz w:val="22"/>
          <w:u w:val="single"/>
        </w:rPr>
        <w:t>forms of affiliation</w:t>
      </w:r>
      <w:r>
        <w:rPr>
          <w:b w:val="0"/>
          <w:i w:val="0"/>
          <w:smallCaps w:val="0"/>
          <w:strike w:val="0"/>
          <w:sz w:val="14"/>
          <w:u w:val="none"/>
        </w:rPr>
        <w:t xml:space="preserve"> through oppositional, divide-and-conquer logics that set up nonnormative subjects to compete against each other in order to gain the privileged access to citizenship.”24</w:t>
      </w:r>
    </w:p>
    <w:p>
      <w:pPr>
        <w:spacing w:after="60"/>
      </w:pPr>
      <w:r>
        <w:rPr>
          <w:b w:val="0"/>
          <w:i w:val="0"/>
          <w:smallCaps w:val="0"/>
          <w:strike w:val="0"/>
          <w:sz w:val="22"/>
          <w:u w:val="single"/>
        </w:rPr>
        <w:t>In the context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these divide-and-conquer logics are evident even in </w:t>
      </w:r>
      <w:r>
        <w:rPr>
          <w:b/>
          <w:i w:val="0"/>
          <w:smallCaps w:val="0"/>
          <w:strike w:val="0"/>
          <w:sz w:val="22"/>
          <w:u w:val="single"/>
        </w:rPr>
        <w:t>seemingly productive calls for inclusion</w:t>
      </w:r>
      <w:r>
        <w:rPr>
          <w:b w:val="0"/>
          <w:i w:val="0"/>
          <w:smallCaps w:val="0"/>
          <w:strike w:val="0"/>
          <w:sz w:val="14"/>
          <w:u w:val="none"/>
        </w:rPr>
        <w:t xml:space="preserve">. Prince’s appeals to protect Black creatorship—as well as popular cultural texts such as Empire and The Get Down that echo them—do so at the expense of “pirates,” even when those pirates exist in states of tremendous precarity. Indian and Indian American claims to have a cultural property interests in yoga feed virulent Hindu nationalism that justifies violence against Muslims.25 Lynch’s claims to own the labor of his Black body reinscribe the racial capitalism of both the NFL and the celebrity industrial complex that makes the cult of personality around his undoubtedly appealing Beast Mode persona profitable. </w:t>
      </w:r>
      <w:r>
        <w:rPr>
          <w:b w:val="0"/>
          <w:i w:val="0"/>
          <w:smallCaps w:val="0"/>
          <w:strike w:val="0"/>
          <w:sz w:val="22"/>
          <w:u w:val="single"/>
        </w:rPr>
        <w:t xml:space="preserve">Unless they </w:t>
      </w:r>
      <w:r>
        <w:rPr>
          <w:b/>
          <w:i w:val="0"/>
          <w:smallCaps w:val="0"/>
          <w:strike w:val="0"/>
          <w:sz w:val="22"/>
          <w:u w:val="single"/>
        </w:rPr>
        <w:t>confront</w:t>
      </w:r>
      <w:r>
        <w:rPr>
          <w:b w:val="0"/>
          <w:i w:val="0"/>
          <w:smallCaps w:val="0"/>
          <w:strike w:val="0"/>
          <w:sz w:val="22"/>
          <w:u w:val="single"/>
        </w:rPr>
        <w:t xml:space="preserve"> and </w:t>
      </w:r>
      <w:r>
        <w:rPr>
          <w:b/>
          <w:i w:val="0"/>
          <w:smallCaps w:val="0"/>
          <w:strike w:val="0"/>
          <w:sz w:val="22"/>
          <w:u w:val="single"/>
        </w:rPr>
        <w:t>undo</w:t>
      </w:r>
      <w:r>
        <w:rPr>
          <w:b w:val="0"/>
          <w:i w:val="0"/>
          <w:smallCaps w:val="0"/>
          <w:strike w:val="0"/>
          <w:sz w:val="22"/>
          <w:u w:val="single"/>
        </w:rPr>
        <w:t xml:space="preserve"> the </w:t>
      </w:r>
      <w:r>
        <w:rPr>
          <w:b/>
          <w:i w:val="0"/>
          <w:smallCaps w:val="0"/>
          <w:strike w:val="0"/>
          <w:sz w:val="22"/>
          <w:u w:val="single"/>
        </w:rPr>
        <w:t>underlying logics</w:t>
      </w:r>
      <w:r>
        <w:rPr>
          <w:b w:val="0"/>
          <w:i w:val="0"/>
          <w:smallCaps w:val="0"/>
          <w:strike w:val="0"/>
          <w:sz w:val="22"/>
          <w:u w:val="single"/>
        </w:rPr>
        <w:t xml:space="preserve"> of copyright</w:t>
      </w:r>
      <w:r>
        <w:rPr>
          <w:b w:val="0"/>
          <w:i w:val="0"/>
          <w:smallCaps w:val="0"/>
          <w:strike w:val="0"/>
          <w:sz w:val="14"/>
          <w:u w:val="none"/>
        </w:rPr>
        <w:t xml:space="preserve">, </w:t>
      </w:r>
      <w:r>
        <w:rPr>
          <w:b w:val="0"/>
          <w:i w:val="0"/>
          <w:smallCaps w:val="0"/>
          <w:strike w:val="0"/>
          <w:sz w:val="22"/>
          <w:u w:val="single"/>
        </w:rPr>
        <w:t>patent</w:t>
      </w:r>
      <w:r>
        <w:rPr>
          <w:b w:val="0"/>
          <w:i w:val="0"/>
          <w:smallCaps w:val="0"/>
          <w:strike w:val="0"/>
          <w:sz w:val="14"/>
          <w:u w:val="none"/>
        </w:rPr>
        <w:t xml:space="preserve">, </w:t>
      </w:r>
      <w:r>
        <w:rPr>
          <w:b w:val="0"/>
          <w:i w:val="0"/>
          <w:smallCaps w:val="0"/>
          <w:strike w:val="0"/>
          <w:sz w:val="22"/>
          <w:u w:val="single"/>
        </w:rPr>
        <w:t>and trademark law</w:t>
      </w:r>
      <w:r>
        <w:rPr>
          <w:b w:val="0"/>
          <w:i w:val="0"/>
          <w:smallCaps w:val="0"/>
          <w:strike w:val="0"/>
          <w:sz w:val="14"/>
          <w:u w:val="none"/>
        </w:rPr>
        <w:t xml:space="preserve">, </w:t>
      </w:r>
      <w:r>
        <w:rPr>
          <w:b w:val="0"/>
          <w:i w:val="0"/>
          <w:smallCaps w:val="0"/>
          <w:strike w:val="0"/>
          <w:sz w:val="22"/>
          <w:u w:val="single"/>
        </w:rPr>
        <w:t>performative engagements with creatorship and citizenship can fall prey to</w:t>
      </w:r>
      <w:r>
        <w:rPr>
          <w:b w:val="0"/>
          <w:i w:val="0"/>
          <w:smallCaps w:val="0"/>
          <w:strike w:val="0"/>
          <w:sz w:val="14"/>
          <w:u w:val="none"/>
        </w:rPr>
        <w:t xml:space="preserve"> the </w:t>
      </w:r>
      <w:r>
        <w:rPr>
          <w:b/>
          <w:i w:val="0"/>
          <w:smallCaps w:val="0"/>
          <w:strike w:val="0"/>
          <w:sz w:val="22"/>
          <w:u w:val="single"/>
        </w:rPr>
        <w:t>anti-affiliative</w:t>
      </w:r>
      <w:r>
        <w:rPr>
          <w:b w:val="0"/>
          <w:i w:val="0"/>
          <w:smallCaps w:val="0"/>
          <w:strike w:val="0"/>
          <w:sz w:val="22"/>
          <w:u w:val="single"/>
        </w:rPr>
        <w:t xml:space="preserve"> and </w:t>
      </w:r>
      <w:r>
        <w:rPr>
          <w:b/>
          <w:i w:val="0"/>
          <w:smallCaps w:val="0"/>
          <w:strike w:val="0"/>
          <w:sz w:val="22"/>
          <w:u w:val="single"/>
        </w:rPr>
        <w:t>anti-intersectional</w:t>
      </w:r>
      <w:r>
        <w:rPr>
          <w:b w:val="0"/>
          <w:i w:val="0"/>
          <w:smallCaps w:val="0"/>
          <w:strike w:val="0"/>
          <w:sz w:val="22"/>
          <w:u w:val="single"/>
        </w:rPr>
        <w:t xml:space="preserve"> labor sentiments</w:t>
      </w:r>
      <w:r>
        <w:rPr>
          <w:b w:val="0"/>
          <w:i w:val="0"/>
          <w:smallCaps w:val="0"/>
          <w:strike w:val="0"/>
          <w:sz w:val="14"/>
          <w:u w:val="none"/>
        </w:rPr>
        <w:t xml:space="preserve"> that </w:t>
      </w:r>
      <w:r>
        <w:rPr>
          <w:b w:val="0"/>
          <w:i w:val="0"/>
          <w:smallCaps w:val="0"/>
          <w:strike w:val="0"/>
          <w:sz w:val="14"/>
          <w:u w:val="none"/>
        </w:rPr>
        <w:t>Brandzel</w:t>
      </w:r>
      <w:r>
        <w:rPr>
          <w:b w:val="0"/>
          <w:i w:val="0"/>
          <w:smallCaps w:val="0"/>
          <w:strike w:val="0"/>
          <w:sz w:val="14"/>
          <w:u w:val="none"/>
        </w:rPr>
        <w:t xml:space="preserve"> critiques as problematic. Combating such problems requires addressing the humanness of people of color, their knowledge, and their rights to </w:t>
      </w:r>
      <w:r>
        <w:rPr>
          <w:b w:val="0"/>
          <w:i w:val="0"/>
          <w:smallCaps w:val="0"/>
          <w:strike w:val="0"/>
          <w:sz w:val="14"/>
          <w:u w:val="none"/>
        </w:rPr>
        <w:t>liveable</w:t>
      </w:r>
      <w:r>
        <w:rPr>
          <w:b w:val="0"/>
          <w:i w:val="0"/>
          <w:smallCaps w:val="0"/>
          <w:strike w:val="0"/>
          <w:sz w:val="14"/>
          <w:u w:val="none"/>
        </w:rPr>
        <w:t xml:space="preserve"> and sustainable economic realities.</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