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Essentialism claims are </w:t>
      </w:r>
      <w:r>
        <w:rPr>
          <w:b/>
          <w:i w:val="0"/>
          <w:smallCaps w:val="0"/>
          <w:strike w:val="0"/>
          <w:u w:val="single"/>
        </w:rPr>
        <w:t>wrong</w:t>
      </w:r>
      <w:r>
        <w:rPr>
          <w:b/>
          <w:i w:val="0"/>
          <w:smallCaps w:val="0"/>
          <w:strike w:val="0"/>
          <w:u w:val="none"/>
        </w:rPr>
        <w:t>.</w:t>
      </w:r>
    </w:p>
    <w:p>
      <w:pPr>
        <w:spacing w:after="80"/>
      </w:pPr>
      <w:r>
        <w:rPr>
          <w:b/>
          <w:i w:val="0"/>
          <w:smallCaps w:val="0"/>
          <w:strike w:val="0"/>
          <w:sz w:val="22"/>
          <w:u w:val="none"/>
        </w:rPr>
        <w:t>Meghji</w:t>
      </w:r>
      <w:r>
        <w:rPr>
          <w:b/>
          <w:i w:val="0"/>
          <w:smallCaps w:val="0"/>
          <w:strike w:val="0"/>
          <w:sz w:val="22"/>
          <w:u w:val="none"/>
        </w:rPr>
        <w:t>, 23</w:t>
      </w:r>
      <w:r>
        <w:rPr>
          <w:b w:val="0"/>
          <w:i w:val="0"/>
          <w:smallCaps w:val="0"/>
          <w:strike w:val="0"/>
          <w:u w:val="none"/>
        </w:rPr>
        <w:t>—Assistant Professor of Social Inequalities at the University of Cambridge (Ali, “Dwelling in epistemic disobedience: A reply to Go,” The British Journal of Sociology, Volume 74, Issue 3, June 2023, pp. 294–301, dml)</w:t>
      </w:r>
    </w:p>
    <w:p>
      <w:pPr>
        <w:spacing w:after="60"/>
      </w:pPr>
      <w:r>
        <w:rPr>
          <w:b w:val="0"/>
          <w:i w:val="0"/>
          <w:smallCaps w:val="0"/>
          <w:strike w:val="0"/>
          <w:sz w:val="22"/>
          <w:u w:val="single"/>
        </w:rPr>
        <w:t>Decolonial thought</w:t>
      </w:r>
      <w:r>
        <w:rPr>
          <w:b w:val="0"/>
          <w:i w:val="0"/>
          <w:smallCaps w:val="0"/>
          <w:strike w:val="0"/>
          <w:sz w:val="14"/>
          <w:u w:val="none"/>
        </w:rPr>
        <w:t xml:space="preserve">, however, </w:t>
      </w:r>
      <w:r>
        <w:rPr>
          <w:b/>
          <w:i w:val="0"/>
          <w:smallCaps w:val="0"/>
          <w:strike w:val="0"/>
          <w:sz w:val="22"/>
          <w:u w:val="single"/>
        </w:rPr>
        <w:t>does not create an epistemic hierarchy</w:t>
      </w:r>
      <w:r>
        <w:rPr>
          <w:b w:val="0"/>
          <w:i w:val="0"/>
          <w:smallCaps w:val="0"/>
          <w:strike w:val="0"/>
          <w:sz w:val="22"/>
          <w:u w:val="single"/>
        </w:rPr>
        <w:t xml:space="preserve"> on the basis of</w:t>
      </w:r>
      <w:r>
        <w:rPr>
          <w:b w:val="0"/>
          <w:i w:val="0"/>
          <w:smallCaps w:val="0"/>
          <w:strike w:val="0"/>
          <w:sz w:val="14"/>
          <w:u w:val="none"/>
        </w:rPr>
        <w:t xml:space="preserve"> geographical </w:t>
      </w:r>
      <w:r>
        <w:rPr>
          <w:b/>
          <w:i w:val="0"/>
          <w:smallCaps w:val="0"/>
          <w:strike w:val="0"/>
          <w:sz w:val="22"/>
          <w:u w:val="single"/>
        </w:rPr>
        <w:t>essentialisms</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neither</w:t>
      </w:r>
      <w:r>
        <w:rPr>
          <w:b w:val="0"/>
          <w:i w:val="0"/>
          <w:smallCaps w:val="0"/>
          <w:strike w:val="0"/>
          <w:sz w:val="22"/>
          <w:u w:val="single"/>
        </w:rPr>
        <w:t xml:space="preserve"> does it advocate a </w:t>
      </w:r>
      <w:r>
        <w:rPr>
          <w:b/>
          <w:i w:val="0"/>
          <w:smallCaps w:val="0"/>
          <w:strike w:val="0"/>
          <w:sz w:val="22"/>
          <w:u w:val="single"/>
        </w:rPr>
        <w:t>simple turning to the non-West</w:t>
      </w:r>
      <w:r>
        <w:rPr>
          <w:b w:val="0"/>
          <w:i w:val="0"/>
          <w:smallCaps w:val="0"/>
          <w:strike w:val="0"/>
          <w:sz w:val="14"/>
          <w:u w:val="none"/>
        </w:rPr>
        <w:t xml:space="preserve">. In fact, the project </w:t>
      </w:r>
      <w:r>
        <w:rPr>
          <w:b w:val="0"/>
          <w:i w:val="0"/>
          <w:smallCaps w:val="0"/>
          <w:strike w:val="0"/>
          <w:sz w:val="22"/>
          <w:u w:val="single"/>
        </w:rPr>
        <w:t>decolonial theory</w:t>
      </w:r>
      <w:r>
        <w:rPr>
          <w:b w:val="0"/>
          <w:i w:val="0"/>
          <w:smallCaps w:val="0"/>
          <w:strike w:val="0"/>
          <w:sz w:val="14"/>
          <w:u w:val="none"/>
        </w:rPr>
        <w:t xml:space="preserve"> embraces—that of border thinking—is incredibly akin to what Go describes when he refers to how anticolonial sociology is developed from relational positions “of experience, of subordination and of erasure”.</w:t>
      </w:r>
    </w:p>
    <w:p>
      <w:pPr>
        <w:spacing w:after="60"/>
      </w:pPr>
      <w:r>
        <w:rPr>
          <w:b w:val="0"/>
          <w:i w:val="0"/>
          <w:smallCaps w:val="0"/>
          <w:strike w:val="0"/>
          <w:sz w:val="14"/>
          <w:u w:val="none"/>
        </w:rPr>
        <w:t xml:space="preserve">Border thinking </w:t>
      </w:r>
      <w:r>
        <w:rPr>
          <w:b w:val="0"/>
          <w:i w:val="0"/>
          <w:smallCaps w:val="0"/>
          <w:strike w:val="0"/>
          <w:sz w:val="22"/>
          <w:u w:val="single"/>
        </w:rPr>
        <w:t>necessitates that we engage with those epistemologies that may have been</w:t>
      </w:r>
      <w:r>
        <w:rPr>
          <w:b w:val="0"/>
          <w:i w:val="0"/>
          <w:smallCaps w:val="0"/>
          <w:strike w:val="0"/>
          <w:sz w:val="14"/>
          <w:u w:val="none"/>
        </w:rPr>
        <w:t xml:space="preserve"> “</w:t>
      </w:r>
      <w:r>
        <w:rPr>
          <w:b/>
          <w:i w:val="0"/>
          <w:smallCaps w:val="0"/>
          <w:strike w:val="0"/>
          <w:sz w:val="22"/>
          <w:u w:val="single"/>
        </w:rPr>
        <w:t>affected</w:t>
      </w:r>
      <w:r>
        <w:rPr>
          <w:b w:val="0"/>
          <w:i w:val="0"/>
          <w:smallCaps w:val="0"/>
          <w:strike w:val="0"/>
          <w:sz w:val="14"/>
          <w:u w:val="none"/>
        </w:rPr>
        <w:t xml:space="preserve"> by genocide/</w:t>
      </w:r>
      <w:r>
        <w:rPr>
          <w:b w:val="0"/>
          <w:i w:val="0"/>
          <w:smallCaps w:val="0"/>
          <w:strike w:val="0"/>
          <w:sz w:val="14"/>
          <w:u w:val="none"/>
        </w:rPr>
        <w:t>epistemicide</w:t>
      </w:r>
      <w:r>
        <w:rPr>
          <w:b w:val="0"/>
          <w:i w:val="0"/>
          <w:smallCaps w:val="0"/>
          <w:strike w:val="0"/>
          <w:sz w:val="14"/>
          <w:u w:val="none"/>
        </w:rPr>
        <w:t xml:space="preserve"> </w:t>
      </w:r>
      <w:r>
        <w:rPr>
          <w:b w:val="0"/>
          <w:i w:val="0"/>
          <w:smallCaps w:val="0"/>
          <w:strike w:val="0"/>
          <w:sz w:val="22"/>
          <w:u w:val="single"/>
        </w:rPr>
        <w:t xml:space="preserve">but not </w:t>
      </w:r>
      <w:r>
        <w:rPr>
          <w:b/>
          <w:i w:val="0"/>
          <w:smallCaps w:val="0"/>
          <w:strike w:val="0"/>
          <w:sz w:val="22"/>
          <w:u w:val="single"/>
        </w:rPr>
        <w:t>fully destroyed</w:t>
      </w:r>
      <w:r>
        <w:rPr>
          <w:b w:val="0"/>
          <w:i w:val="0"/>
          <w:smallCaps w:val="0"/>
          <w:strike w:val="0"/>
          <w:sz w:val="14"/>
          <w:u w:val="none"/>
        </w:rPr>
        <w:t>” (</w:t>
      </w:r>
      <w:r>
        <w:rPr>
          <w:b w:val="0"/>
          <w:i w:val="0"/>
          <w:smallCaps w:val="0"/>
          <w:strike w:val="0"/>
          <w:sz w:val="14"/>
          <w:u w:val="none"/>
        </w:rPr>
        <w:t>Grosfoguel</w:t>
      </w:r>
      <w:r>
        <w:rPr>
          <w:b w:val="0"/>
          <w:i w:val="0"/>
          <w:smallCaps w:val="0"/>
          <w:strike w:val="0"/>
          <w:sz w:val="14"/>
          <w:u w:val="none"/>
        </w:rPr>
        <w:t xml:space="preserve">, 2013, p. 87). However,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borders</w:t>
      </w:r>
      <w:r>
        <w:rPr>
          <w:b w:val="0"/>
          <w:i w:val="0"/>
          <w:smallCaps w:val="0"/>
          <w:strike w:val="0"/>
          <w:sz w:val="14"/>
          <w:u w:val="none"/>
        </w:rPr>
        <w:t xml:space="preserve">” </w:t>
      </w:r>
      <w:r>
        <w:rPr>
          <w:b w:val="0"/>
          <w:i w:val="0"/>
          <w:smallCaps w:val="0"/>
          <w:strike w:val="0"/>
          <w:sz w:val="22"/>
          <w:u w:val="single"/>
        </w:rPr>
        <w:t xml:space="preserve">from where we are thinking are not simply </w:t>
      </w:r>
      <w:r>
        <w:rPr>
          <w:b/>
          <w:i w:val="0"/>
          <w:smallCaps w:val="0"/>
          <w:strike w:val="0"/>
          <w:sz w:val="22"/>
          <w:u w:val="single"/>
        </w:rPr>
        <w:t>geographical</w:t>
      </w:r>
      <w:r>
        <w:rPr>
          <w:b w:val="0"/>
          <w:i w:val="0"/>
          <w:smallCaps w:val="0"/>
          <w:strike w:val="0"/>
          <w:sz w:val="22"/>
          <w:u w:val="single"/>
        </w:rPr>
        <w:t xml:space="preserve"> spaces</w:t>
      </w:r>
      <w:r>
        <w:rPr>
          <w:b w:val="0"/>
          <w:i w:val="0"/>
          <w:smallCaps w:val="0"/>
          <w:strike w:val="0"/>
          <w:sz w:val="14"/>
          <w:u w:val="none"/>
        </w:rPr>
        <w:t xml:space="preserve"> that others may simply refer to as the Global South or non-West. The border, as outlined by Gloria Anzaldúa (1987), can certainly be a geographical space, but </w:t>
      </w:r>
      <w:r>
        <w:rPr>
          <w:b w:val="0"/>
          <w:i w:val="0"/>
          <w:smallCaps w:val="0"/>
          <w:strike w:val="0"/>
          <w:sz w:val="22"/>
          <w:u w:val="single"/>
        </w:rPr>
        <w:t xml:space="preserve">it also refers to a </w:t>
      </w:r>
      <w:r>
        <w:rPr>
          <w:b/>
          <w:i w:val="0"/>
          <w:smallCaps w:val="0"/>
          <w:strike w:val="0"/>
          <w:sz w:val="22"/>
          <w:u w:val="single"/>
        </w:rPr>
        <w:t>metaphorical</w:t>
      </w:r>
      <w:r>
        <w:rPr>
          <w:b w:val="0"/>
          <w:i w:val="0"/>
          <w:smallCaps w:val="0"/>
          <w:strike w:val="0"/>
          <w:sz w:val="22"/>
          <w:u w:val="single"/>
        </w:rPr>
        <w:t xml:space="preserve"> space of exteriority</w:t>
      </w:r>
      <w:r>
        <w:rPr>
          <w:b w:val="0"/>
          <w:i w:val="0"/>
          <w:smallCaps w:val="0"/>
          <w:strike w:val="0"/>
          <w:sz w:val="14"/>
          <w:u w:val="none"/>
        </w:rPr>
        <w:t xml:space="preserve"> in the world system. These border perspectives, importantly, are themselves created as “border” perspectives in virtue of extant power relations (what the </w:t>
      </w:r>
      <w:r>
        <w:rPr>
          <w:b w:val="0"/>
          <w:i w:val="0"/>
          <w:smallCaps w:val="0"/>
          <w:strike w:val="0"/>
          <w:sz w:val="14"/>
          <w:u w:val="none"/>
        </w:rPr>
        <w:t>decolonials</w:t>
      </w:r>
      <w:r>
        <w:rPr>
          <w:b w:val="0"/>
          <w:i w:val="0"/>
          <w:smallCaps w:val="0"/>
          <w:strike w:val="0"/>
          <w:sz w:val="14"/>
          <w:u w:val="none"/>
        </w:rPr>
        <w:t xml:space="preserve"> would refer to as the colonial matrix of power); </w:t>
      </w:r>
      <w:r>
        <w:rPr>
          <w:b w:val="0"/>
          <w:i w:val="0"/>
          <w:smallCaps w:val="0"/>
          <w:strike w:val="0"/>
          <w:sz w:val="22"/>
          <w:u w:val="single"/>
        </w:rPr>
        <w:t>they are epistemologies that exist</w:t>
      </w:r>
      <w:r>
        <w:rPr>
          <w:b w:val="0"/>
          <w:i w:val="0"/>
          <w:smallCaps w:val="0"/>
          <w:strike w:val="0"/>
          <w:sz w:val="14"/>
          <w:u w:val="none"/>
        </w:rPr>
        <w:t xml:space="preserve"> on “(the) </w:t>
      </w:r>
      <w:r>
        <w:rPr>
          <w:b/>
          <w:i w:val="0"/>
          <w:smallCaps w:val="0"/>
          <w:strike w:val="0"/>
          <w:sz w:val="22"/>
          <w:u w:val="single"/>
        </w:rPr>
        <w:t>outside</w:t>
      </w:r>
      <w:r>
        <w:rPr>
          <w:b w:val="0"/>
          <w:i w:val="0"/>
          <w:smallCaps w:val="0"/>
          <w:strike w:val="0"/>
          <w:sz w:val="14"/>
          <w:u w:val="none"/>
        </w:rPr>
        <w:t xml:space="preserve"> invented by the rhetoric of </w:t>
      </w:r>
      <w:r>
        <w:rPr>
          <w:b w:val="0"/>
          <w:i w:val="0"/>
          <w:smallCaps w:val="0"/>
          <w:strike w:val="0"/>
          <w:sz w:val="22"/>
          <w:u w:val="single"/>
        </w:rPr>
        <w:t>modernity</w:t>
      </w:r>
      <w:r>
        <w:rPr>
          <w:b w:val="0"/>
          <w:i w:val="0"/>
          <w:smallCaps w:val="0"/>
          <w:strike w:val="0"/>
          <w:sz w:val="14"/>
          <w:u w:val="none"/>
        </w:rPr>
        <w:t xml:space="preserve"> in the process of creating the inside” (</w:t>
      </w:r>
      <w:r>
        <w:rPr>
          <w:b w:val="0"/>
          <w:i w:val="0"/>
          <w:smallCaps w:val="0"/>
          <w:strike w:val="0"/>
          <w:sz w:val="14"/>
          <w:u w:val="none"/>
        </w:rPr>
        <w:t>Mignolo</w:t>
      </w:r>
      <w:r>
        <w:rPr>
          <w:b w:val="0"/>
          <w:i w:val="0"/>
          <w:smallCaps w:val="0"/>
          <w:strike w:val="0"/>
          <w:sz w:val="14"/>
          <w:u w:val="none"/>
        </w:rPr>
        <w:t xml:space="preserve">, 2007, p. 472). </w:t>
      </w:r>
      <w:r>
        <w:rPr>
          <w:b w:val="0"/>
          <w:i w:val="0"/>
          <w:smallCaps w:val="0"/>
          <w:strike w:val="0"/>
          <w:sz w:val="22"/>
          <w:u w:val="single"/>
        </w:rPr>
        <w:t>The border</w:t>
      </w:r>
      <w:r>
        <w:rPr>
          <w:b w:val="0"/>
          <w:i w:val="0"/>
          <w:smallCaps w:val="0"/>
          <w:strike w:val="0"/>
          <w:sz w:val="14"/>
          <w:u w:val="none"/>
        </w:rPr>
        <w:t xml:space="preserve">, in this sense, </w:t>
      </w:r>
      <w:r>
        <w:rPr>
          <w:b w:val="0"/>
          <w:i w:val="0"/>
          <w:smallCaps w:val="0"/>
          <w:strike w:val="0"/>
          <w:sz w:val="22"/>
          <w:u w:val="single"/>
        </w:rPr>
        <w:t xml:space="preserve">is not a physical space inasmuch as a </w:t>
      </w:r>
      <w:r>
        <w:rPr>
          <w:b/>
          <w:i w:val="0"/>
          <w:smallCaps w:val="0"/>
          <w:strike w:val="0"/>
          <w:sz w:val="22"/>
          <w:u w:val="single"/>
        </w:rPr>
        <w:t>relational position</w:t>
      </w:r>
      <w:r>
        <w:rPr>
          <w:b w:val="0"/>
          <w:i w:val="0"/>
          <w:smallCaps w:val="0"/>
          <w:strike w:val="0"/>
          <w:sz w:val="14"/>
          <w:u w:val="none"/>
        </w:rPr>
        <w:t xml:space="preserve"> in the colonial world order.</w:t>
      </w:r>
    </w:p>
    <w:p>
      <w:pPr>
        <w:spacing w:after="60"/>
      </w:pPr>
      <w:r>
        <w:rPr>
          <w:b w:val="0"/>
          <w:i w:val="0"/>
          <w:smallCaps w:val="0"/>
          <w:strike w:val="0"/>
          <w:sz w:val="22"/>
          <w:u w:val="single"/>
        </w:rPr>
        <w:t>Within this context of border thinking</w:t>
      </w:r>
      <w:r>
        <w:rPr>
          <w:b w:val="0"/>
          <w:i w:val="0"/>
          <w:smallCaps w:val="0"/>
          <w:strike w:val="0"/>
          <w:sz w:val="14"/>
          <w:u w:val="none"/>
        </w:rPr>
        <w:t xml:space="preserve">, importantly, </w:t>
      </w:r>
      <w:r>
        <w:rPr>
          <w:b w:val="0"/>
          <w:i w:val="0"/>
          <w:smallCaps w:val="0"/>
          <w:strike w:val="0"/>
          <w:sz w:val="22"/>
          <w:u w:val="single"/>
        </w:rPr>
        <w:t xml:space="preserve">decolonial thought </w:t>
      </w:r>
      <w:r>
        <w:rPr>
          <w:b/>
          <w:i w:val="0"/>
          <w:smallCaps w:val="0"/>
          <w:strike w:val="0"/>
          <w:sz w:val="22"/>
          <w:u w:val="single"/>
        </w:rPr>
        <w:t>does not reify essentialisms</w:t>
      </w:r>
      <w:r>
        <w:rPr>
          <w:b w:val="0"/>
          <w:i w:val="0"/>
          <w:smallCaps w:val="0"/>
          <w:strike w:val="0"/>
          <w:sz w:val="22"/>
          <w:u w:val="single"/>
        </w:rPr>
        <w:t xml:space="preserve"> between the geographies nor the epistemologies of the North</w:t>
      </w:r>
      <w:r>
        <w:rPr>
          <w:b w:val="0"/>
          <w:i w:val="0"/>
          <w:smallCaps w:val="0"/>
          <w:strike w:val="0"/>
          <w:sz w:val="14"/>
          <w:u w:val="none"/>
        </w:rPr>
        <w:t xml:space="preserve"> (the center), </w:t>
      </w:r>
      <w:r>
        <w:rPr>
          <w:b w:val="0"/>
          <w:i w:val="0"/>
          <w:smallCaps w:val="0"/>
          <w:strike w:val="0"/>
          <w:sz w:val="22"/>
          <w:u w:val="single"/>
        </w:rPr>
        <w:t>and the South</w:t>
      </w:r>
      <w:r>
        <w:rPr>
          <w:b w:val="0"/>
          <w:i w:val="0"/>
          <w:smallCaps w:val="0"/>
          <w:strike w:val="0"/>
          <w:sz w:val="14"/>
          <w:u w:val="none"/>
        </w:rPr>
        <w:t xml:space="preserve"> (the border). In fact, </w:t>
      </w:r>
      <w:r>
        <w:rPr>
          <w:b w:val="0"/>
          <w:i w:val="0"/>
          <w:smallCaps w:val="0"/>
          <w:strike w:val="0"/>
          <w:sz w:val="22"/>
          <w:u w:val="single"/>
        </w:rPr>
        <w:t xml:space="preserve">decoloniality is presented as being a third option that </w:t>
      </w:r>
      <w:r>
        <w:rPr>
          <w:b/>
          <w:i w:val="0"/>
          <w:smallCaps w:val="0"/>
          <w:strike w:val="0"/>
          <w:sz w:val="22"/>
          <w:u w:val="single"/>
        </w:rPr>
        <w:t>transcends</w:t>
      </w:r>
      <w:r>
        <w:rPr>
          <w:b w:val="0"/>
          <w:i w:val="0"/>
          <w:smallCaps w:val="0"/>
          <w:strike w:val="0"/>
          <w:sz w:val="22"/>
          <w:u w:val="single"/>
        </w:rPr>
        <w:t xml:space="preserve"> the two options of Western modernity and </w:t>
      </w:r>
      <w:r>
        <w:rPr>
          <w:b w:val="0"/>
          <w:i w:val="0"/>
          <w:smallCaps w:val="0"/>
          <w:strike w:val="0"/>
          <w:sz w:val="22"/>
          <w:u w:val="single"/>
        </w:rPr>
        <w:t>dewesternization</w:t>
      </w:r>
      <w:r>
        <w:rPr>
          <w:b w:val="0"/>
          <w:i w:val="0"/>
          <w:smallCaps w:val="0"/>
          <w:strike w:val="0"/>
          <w:sz w:val="14"/>
          <w:u w:val="none"/>
        </w:rPr>
        <w:t xml:space="preserve"> (</w:t>
      </w:r>
      <w:r>
        <w:rPr>
          <w:b w:val="0"/>
          <w:i w:val="0"/>
          <w:smallCaps w:val="0"/>
          <w:strike w:val="0"/>
          <w:sz w:val="14"/>
          <w:u w:val="none"/>
        </w:rPr>
        <w:t>Mignolo</w:t>
      </w:r>
      <w:r>
        <w:rPr>
          <w:b w:val="0"/>
          <w:i w:val="0"/>
          <w:smallCaps w:val="0"/>
          <w:strike w:val="0"/>
          <w:sz w:val="14"/>
          <w:u w:val="none"/>
        </w:rPr>
        <w:t xml:space="preserve">, 2011). </w:t>
      </w:r>
      <w:r>
        <w:rPr>
          <w:b w:val="0"/>
          <w:i w:val="0"/>
          <w:smallCaps w:val="0"/>
          <w:strike w:val="0"/>
          <w:sz w:val="22"/>
          <w:u w:val="single"/>
        </w:rPr>
        <w:t>Dewesternization</w:t>
      </w:r>
      <w:r>
        <w:rPr>
          <w:b w:val="0"/>
          <w:i w:val="0"/>
          <w:smallCaps w:val="0"/>
          <w:strike w:val="0"/>
          <w:sz w:val="14"/>
          <w:u w:val="none"/>
        </w:rPr>
        <w:t xml:space="preserve">, it is argued, </w:t>
      </w:r>
      <w:r>
        <w:rPr>
          <w:b w:val="0"/>
          <w:i w:val="0"/>
          <w:smallCaps w:val="0"/>
          <w:strike w:val="0"/>
          <w:sz w:val="22"/>
          <w:u w:val="single"/>
        </w:rPr>
        <w:t xml:space="preserve">is </w:t>
      </w:r>
      <w:r>
        <w:rPr>
          <w:b/>
          <w:i w:val="0"/>
          <w:smallCaps w:val="0"/>
          <w:strike w:val="0"/>
          <w:sz w:val="22"/>
          <w:u w:val="single"/>
        </w:rPr>
        <w:t>not on its own sufficient</w:t>
      </w:r>
      <w:r>
        <w:rPr>
          <w:b w:val="0"/>
          <w:i w:val="0"/>
          <w:smallCaps w:val="0"/>
          <w:strike w:val="0"/>
          <w:sz w:val="22"/>
          <w:u w:val="single"/>
        </w:rPr>
        <w:t xml:space="preserve"> to delink from the colonial matrix of power</w:t>
      </w:r>
      <w:r>
        <w:rPr>
          <w:b w:val="0"/>
          <w:i w:val="0"/>
          <w:smallCaps w:val="0"/>
          <w:strike w:val="0"/>
          <w:sz w:val="14"/>
          <w:u w:val="none"/>
        </w:rPr>
        <w:t xml:space="preserve">. This is precisely the point </w:t>
      </w:r>
      <w:r>
        <w:rPr>
          <w:b w:val="0"/>
          <w:i w:val="0"/>
          <w:smallCaps w:val="0"/>
          <w:strike w:val="0"/>
          <w:sz w:val="14"/>
          <w:u w:val="none"/>
        </w:rPr>
        <w:t>Mignolo</w:t>
      </w:r>
      <w:r>
        <w:rPr>
          <w:b w:val="0"/>
          <w:i w:val="0"/>
          <w:smallCaps w:val="0"/>
          <w:strike w:val="0"/>
          <w:sz w:val="14"/>
          <w:u w:val="none"/>
        </w:rPr>
        <w:t xml:space="preserve"> (2011), for instance, makes against the decolonization movements of the mid-20th century: they may have advocated for a </w:t>
      </w:r>
      <w:r>
        <w:rPr>
          <w:b w:val="0"/>
          <w:i w:val="0"/>
          <w:smallCaps w:val="0"/>
          <w:strike w:val="0"/>
          <w:sz w:val="14"/>
          <w:u w:val="none"/>
        </w:rPr>
        <w:t>dewesternization</w:t>
      </w:r>
      <w:r>
        <w:rPr>
          <w:b w:val="0"/>
          <w:i w:val="0"/>
          <w:smallCaps w:val="0"/>
          <w:strike w:val="0"/>
          <w:sz w:val="14"/>
          <w:u w:val="none"/>
        </w:rPr>
        <w:t xml:space="preserve"> of culture, politics, and economy, but they did not necessarily detach themselves from the coloniality of knowledge and power, as seen in the cases of the Soviet empire, China, and India. In other words, </w:t>
      </w:r>
      <w:r>
        <w:rPr>
          <w:b w:val="0"/>
          <w:i w:val="0"/>
          <w:smallCaps w:val="0"/>
          <w:strike w:val="0"/>
          <w:sz w:val="22"/>
          <w:u w:val="single"/>
        </w:rPr>
        <w:t xml:space="preserve">within decolonial thought there is a </w:t>
      </w:r>
      <w:r>
        <w:rPr>
          <w:b/>
          <w:i w:val="0"/>
          <w:smallCaps w:val="0"/>
          <w:strike w:val="0"/>
          <w:sz w:val="22"/>
          <w:u w:val="single"/>
        </w:rPr>
        <w:t>suspicion</w:t>
      </w:r>
      <w:r>
        <w:rPr>
          <w:b w:val="0"/>
          <w:i w:val="0"/>
          <w:smallCaps w:val="0"/>
          <w:strike w:val="0"/>
          <w:sz w:val="22"/>
          <w:u w:val="single"/>
        </w:rPr>
        <w:t xml:space="preserve"> of socio-political movements which argue that because something is based in the Global South it is </w:t>
      </w:r>
      <w:r>
        <w:rPr>
          <w:b/>
          <w:i w:val="0"/>
          <w:smallCaps w:val="0"/>
          <w:strike w:val="0"/>
          <w:sz w:val="22"/>
          <w:u w:val="single"/>
        </w:rPr>
        <w:t>inherently superior</w:t>
      </w:r>
      <w:r>
        <w:rPr>
          <w:b w:val="0"/>
          <w:i w:val="0"/>
          <w:smallCaps w:val="0"/>
          <w:strike w:val="0"/>
          <w:sz w:val="22"/>
          <w:u w:val="single"/>
        </w:rPr>
        <w:t xml:space="preserve"> to the West</w:t>
      </w:r>
      <w:r>
        <w:rPr>
          <w:b w:val="0"/>
          <w:i w:val="0"/>
          <w:smallCaps w:val="0"/>
          <w:strike w:val="0"/>
          <w:sz w:val="14"/>
          <w:u w:val="none"/>
        </w:rPr>
        <w:t xml:space="preserve">, </w:t>
      </w:r>
      <w:r>
        <w:rPr>
          <w:b w:val="0"/>
          <w:i w:val="0"/>
          <w:smallCaps w:val="0"/>
          <w:strike w:val="0"/>
          <w:sz w:val="22"/>
          <w:u w:val="single"/>
        </w:rPr>
        <w:t xml:space="preserve">and that any knowledge system that exists in the Global South is </w:t>
      </w:r>
      <w:r>
        <w:rPr>
          <w:b/>
          <w:i w:val="0"/>
          <w:smallCaps w:val="0"/>
          <w:strike w:val="0"/>
          <w:sz w:val="22"/>
          <w:u w:val="single"/>
        </w:rPr>
        <w:t>inherently anti-colonial</w:t>
      </w:r>
      <w:r>
        <w:rPr>
          <w:b w:val="0"/>
          <w:i w:val="0"/>
          <w:smallCaps w:val="0"/>
          <w:strike w:val="0"/>
          <w:sz w:val="14"/>
          <w:u w:val="none"/>
        </w:rPr>
        <w:t xml:space="preserve">. Instead, </w:t>
      </w:r>
      <w:r>
        <w:rPr>
          <w:b w:val="0"/>
          <w:i w:val="0"/>
          <w:smallCaps w:val="0"/>
          <w:strike w:val="0"/>
          <w:sz w:val="22"/>
          <w:u w:val="single"/>
        </w:rPr>
        <w:t xml:space="preserve">there is a </w:t>
      </w:r>
      <w:r>
        <w:rPr>
          <w:b/>
          <w:i w:val="0"/>
          <w:smallCaps w:val="0"/>
          <w:strike w:val="0"/>
          <w:sz w:val="22"/>
          <w:u w:val="single"/>
        </w:rPr>
        <w:t>recognition</w:t>
      </w:r>
      <w:r>
        <w:rPr>
          <w:b w:val="0"/>
          <w:i w:val="0"/>
          <w:smallCaps w:val="0"/>
          <w:strike w:val="0"/>
          <w:sz w:val="22"/>
          <w:u w:val="single"/>
        </w:rPr>
        <w:t xml:space="preserve"> that this</w:t>
      </w:r>
      <w:r>
        <w:rPr>
          <w:b w:val="0"/>
          <w:i w:val="0"/>
          <w:smallCaps w:val="0"/>
          <w:strike w:val="0"/>
          <w:sz w:val="14"/>
          <w:u w:val="none"/>
        </w:rPr>
        <w:t xml:space="preserve"> West/non-West </w:t>
      </w:r>
      <w:r>
        <w:rPr>
          <w:b w:val="0"/>
          <w:i w:val="0"/>
          <w:smallCaps w:val="0"/>
          <w:strike w:val="0"/>
          <w:sz w:val="22"/>
          <w:u w:val="single"/>
        </w:rPr>
        <w:t xml:space="preserve">binary </w:t>
      </w:r>
      <w:r>
        <w:rPr>
          <w:b/>
          <w:i w:val="0"/>
          <w:smallCaps w:val="0"/>
          <w:strike w:val="0"/>
          <w:sz w:val="22"/>
          <w:u w:val="single"/>
        </w:rPr>
        <w:t>occludes</w:t>
      </w:r>
      <w:r>
        <w:rPr>
          <w:b w:val="0"/>
          <w:i w:val="0"/>
          <w:smallCaps w:val="0"/>
          <w:strike w:val="0"/>
          <w:sz w:val="22"/>
          <w:u w:val="single"/>
        </w:rPr>
        <w:t xml:space="preserve"> how</w:t>
      </w:r>
      <w:r>
        <w:rPr>
          <w:b w:val="0"/>
          <w:i w:val="0"/>
          <w:smallCaps w:val="0"/>
          <w:strike w:val="0"/>
          <w:sz w:val="14"/>
          <w:u w:val="none"/>
        </w:rPr>
        <w:t>—as Satnam Virdee (2019, p. 6) puts it—</w:t>
      </w:r>
      <w:r>
        <w:rPr>
          <w:b w:val="0"/>
          <w:i w:val="0"/>
          <w:smallCaps w:val="0"/>
          <w:strike w:val="0"/>
          <w:sz w:val="22"/>
          <w:u w:val="single"/>
        </w:rPr>
        <w:t>there has always been</w:t>
      </w:r>
      <w:r>
        <w:rPr>
          <w:b w:val="0"/>
          <w:i w:val="0"/>
          <w:smallCaps w:val="0"/>
          <w:strike w:val="0"/>
          <w:sz w:val="14"/>
          <w:u w:val="none"/>
        </w:rPr>
        <w:t xml:space="preserve"> “an East within the West and a South within the North” (and indeed, </w:t>
      </w:r>
      <w:r>
        <w:rPr>
          <w:b w:val="0"/>
          <w:i w:val="0"/>
          <w:smallCaps w:val="0"/>
          <w:strike w:val="0"/>
          <w:sz w:val="22"/>
          <w:u w:val="single"/>
        </w:rPr>
        <w:t xml:space="preserve">a </w:t>
      </w:r>
      <w:r>
        <w:rPr>
          <w:b/>
          <w:i w:val="0"/>
          <w:smallCaps w:val="0"/>
          <w:strike w:val="0"/>
          <w:sz w:val="22"/>
          <w:u w:val="single"/>
        </w:rPr>
        <w:t>West</w:t>
      </w:r>
      <w:r>
        <w:rPr>
          <w:b w:val="0"/>
          <w:i w:val="0"/>
          <w:smallCaps w:val="0"/>
          <w:strike w:val="0"/>
          <w:sz w:val="22"/>
          <w:u w:val="single"/>
        </w:rPr>
        <w:t xml:space="preserve"> in the </w:t>
      </w:r>
      <w:r>
        <w:rPr>
          <w:b/>
          <w:i w:val="0"/>
          <w:smallCaps w:val="0"/>
          <w:strike w:val="0"/>
          <w:sz w:val="22"/>
          <w:u w:val="single"/>
        </w:rPr>
        <w:t>East</w:t>
      </w:r>
      <w:r>
        <w:rPr>
          <w:b w:val="0"/>
          <w:i w:val="0"/>
          <w:smallCaps w:val="0"/>
          <w:strike w:val="0"/>
          <w:sz w:val="22"/>
          <w:u w:val="single"/>
        </w:rPr>
        <w:t xml:space="preserve"> and </w:t>
      </w:r>
      <w:r>
        <w:rPr>
          <w:b/>
          <w:i w:val="0"/>
          <w:smallCaps w:val="0"/>
          <w:strike w:val="0"/>
          <w:sz w:val="22"/>
          <w:u w:val="single"/>
        </w:rPr>
        <w:t>North</w:t>
      </w:r>
      <w:r>
        <w:rPr>
          <w:b w:val="0"/>
          <w:i w:val="0"/>
          <w:smallCaps w:val="0"/>
          <w:strike w:val="0"/>
          <w:sz w:val="22"/>
          <w:u w:val="single"/>
        </w:rPr>
        <w:t xml:space="preserve"> in the </w:t>
      </w:r>
      <w:r>
        <w:rPr>
          <w:b/>
          <w:i w:val="0"/>
          <w:smallCaps w:val="0"/>
          <w:strike w:val="0"/>
          <w:sz w:val="22"/>
          <w:u w:val="single"/>
        </w:rPr>
        <w:t>South</w:t>
      </w:r>
      <w:r>
        <w:rPr>
          <w:b w:val="0"/>
          <w:i w:val="0"/>
          <w:smallCaps w:val="0"/>
          <w:strike w:val="0"/>
          <w:sz w:val="14"/>
          <w:u w:val="none"/>
        </w:rPr>
        <w:t>).</w:t>
      </w:r>
    </w:p>
    <w:p>
      <w:pPr>
        <w:spacing w:after="60"/>
      </w:pPr>
      <w:r>
        <w:rPr>
          <w:b w:val="0"/>
          <w:i w:val="0"/>
          <w:smallCaps w:val="0"/>
          <w:strike w:val="0"/>
          <w:sz w:val="14"/>
          <w:u w:val="none"/>
        </w:rPr>
        <w:t xml:space="preserve">The border thinking which decolonial theory advocates, therefore, seems very similar to what Go describes at the end of his paper when he claims that “the space of the anticolonial does not mark an essential position of geography (or race, for that matter) but a relational position of experience, of subordination and of erasure”. </w:t>
      </w:r>
      <w:r>
        <w:rPr>
          <w:b w:val="0"/>
          <w:i w:val="0"/>
          <w:smallCaps w:val="0"/>
          <w:strike w:val="0"/>
          <w:sz w:val="22"/>
          <w:u w:val="single"/>
        </w:rPr>
        <w:t xml:space="preserve">Rather than embracing an </w:t>
      </w:r>
      <w:r>
        <w:rPr>
          <w:b/>
          <w:i w:val="0"/>
          <w:smallCaps w:val="0"/>
          <w:strike w:val="0"/>
          <w:sz w:val="22"/>
          <w:u w:val="single"/>
        </w:rPr>
        <w:t>essentialist</w:t>
      </w:r>
      <w:r>
        <w:rPr>
          <w:b w:val="0"/>
          <w:i w:val="0"/>
          <w:smallCaps w:val="0"/>
          <w:strike w:val="0"/>
          <w:sz w:val="14"/>
          <w:u w:val="none"/>
        </w:rPr>
        <w:t xml:space="preserve"> West/non-West </w:t>
      </w:r>
      <w:r>
        <w:rPr>
          <w:b/>
          <w:i w:val="0"/>
          <w:smallCaps w:val="0"/>
          <w:strike w:val="0"/>
          <w:sz w:val="22"/>
          <w:u w:val="single"/>
        </w:rPr>
        <w:t>binary</w:t>
      </w:r>
      <w:r>
        <w:rPr>
          <w:b w:val="0"/>
          <w:i w:val="0"/>
          <w:smallCaps w:val="0"/>
          <w:strike w:val="0"/>
          <w:sz w:val="14"/>
          <w:u w:val="none"/>
        </w:rPr>
        <w:t>—what Go refers to as a geo-epistemic essentialism—</w:t>
      </w:r>
      <w:r>
        <w:rPr>
          <w:b w:val="0"/>
          <w:i w:val="0"/>
          <w:smallCaps w:val="0"/>
          <w:strike w:val="0"/>
          <w:sz w:val="22"/>
          <w:u w:val="single"/>
        </w:rPr>
        <w:t xml:space="preserve">decolonial theory merely analyses the </w:t>
      </w:r>
      <w:r>
        <w:rPr>
          <w:b/>
          <w:i w:val="0"/>
          <w:smallCaps w:val="0"/>
          <w:strike w:val="0"/>
          <w:sz w:val="22"/>
          <w:u w:val="single"/>
        </w:rPr>
        <w:t>geopolitics of knowledge</w:t>
      </w:r>
      <w:r>
        <w:rPr>
          <w:b w:val="0"/>
          <w:i w:val="0"/>
          <w:smallCaps w:val="0"/>
          <w:strike w:val="0"/>
          <w:sz w:val="14"/>
          <w:u w:val="none"/>
        </w:rPr>
        <w:t xml:space="preserve">. Just like Go's argument, </w:t>
      </w:r>
      <w:r>
        <w:rPr>
          <w:b w:val="0"/>
          <w:i w:val="0"/>
          <w:smallCaps w:val="0"/>
          <w:strike w:val="0"/>
          <w:sz w:val="22"/>
          <w:u w:val="single"/>
        </w:rPr>
        <w:t xml:space="preserve">decolonial thought holds that all knowledge is enunciated from </w:t>
      </w:r>
      <w:r>
        <w:rPr>
          <w:b/>
          <w:i w:val="0"/>
          <w:smallCaps w:val="0"/>
          <w:strike w:val="0"/>
          <w:sz w:val="22"/>
          <w:u w:val="single"/>
        </w:rPr>
        <w:t>particular positions</w:t>
      </w:r>
      <w:r>
        <w:rPr>
          <w:b w:val="0"/>
          <w:i w:val="0"/>
          <w:smallCaps w:val="0"/>
          <w:strike w:val="0"/>
          <w:sz w:val="22"/>
          <w:u w:val="single"/>
        </w:rPr>
        <w:t xml:space="preserve"> in the colonial world order</w:t>
      </w:r>
      <w:r>
        <w:rPr>
          <w:b w:val="0"/>
          <w:i w:val="0"/>
          <w:smallCaps w:val="0"/>
          <w:strike w:val="0"/>
          <w:sz w:val="14"/>
          <w:u w:val="none"/>
        </w:rPr>
        <w:t xml:space="preserve">. Within this colonial world order, the positions from which we find more critical theorizing are those border perspectives—those relational position in the world system, much like what Go describes. </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