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Globalization</w:t>
      </w:r>
      <w:r>
        <w:rPr>
          <w:b/>
          <w:i w:val="0"/>
          <w:smallCaps w:val="0"/>
          <w:strike w:val="0"/>
          <w:sz w:val="24"/>
          <w:u w:val="none"/>
        </w:rPr>
        <w:t xml:space="preserve"> is </w:t>
      </w:r>
      <w:r>
        <w:rPr>
          <w:b/>
          <w:i w:val="0"/>
          <w:smallCaps w:val="0"/>
          <w:strike w:val="0"/>
          <w:sz w:val="24"/>
          <w:u w:val="single"/>
        </w:rPr>
        <w:t>strong</w:t>
      </w:r>
      <w:r>
        <w:rPr>
          <w:b/>
          <w:i w:val="0"/>
          <w:smallCaps w:val="0"/>
          <w:strike w:val="0"/>
          <w:sz w:val="24"/>
          <w:u w:val="none"/>
        </w:rPr>
        <w:t xml:space="preserve"> now </w:t>
      </w:r>
    </w:p>
    <w:p>
      <w:pPr>
        <w:spacing w:after="80"/>
      </w:pPr>
      <w:r>
        <w:rPr>
          <w:b/>
          <w:i w:val="0"/>
          <w:smallCaps w:val="0"/>
          <w:strike w:val="0"/>
          <w:sz w:val="24"/>
          <w:u w:val="none"/>
        </w:rPr>
        <w:t>Setser 6/4</w:t>
      </w:r>
      <w:r>
        <w:rPr>
          <w:b w:val="0"/>
          <w:i w:val="0"/>
          <w:smallCaps w:val="0"/>
          <w:strike w:val="0"/>
          <w:sz w:val="16"/>
          <w:u w:val="none"/>
        </w:rPr>
        <w:t>---Brad Setser is Whitney Shepardson Senior Fellow at the Council on Foreign Relations. (“</w:t>
      </w:r>
      <w:r>
        <w:rPr>
          <w:b/>
          <w:i w:val="0"/>
          <w:smallCaps w:val="0"/>
          <w:strike w:val="0"/>
          <w:sz w:val="20"/>
          <w:highlight w:val="cyan"/>
          <w:u w:val="single"/>
        </w:rPr>
        <w:t>The</w:t>
      </w:r>
      <w:r>
        <w:rPr>
          <w:b w:val="0"/>
          <w:i w:val="0"/>
          <w:smallCaps w:val="0"/>
          <w:strike w:val="0"/>
          <w:sz w:val="16"/>
          <w:u w:val="none"/>
        </w:rPr>
        <w:t xml:space="preserve"> Dangerous </w:t>
      </w:r>
      <w:r>
        <w:rPr>
          <w:b/>
          <w:i w:val="0"/>
          <w:smallCaps w:val="0"/>
          <w:strike w:val="0"/>
          <w:sz w:val="20"/>
          <w:highlight w:val="cyan"/>
          <w:u w:val="single"/>
        </w:rPr>
        <w:t>Myth of Deglobalization</w:t>
      </w:r>
      <w:r>
        <w:rPr>
          <w:b w:val="0"/>
          <w:i w:val="0"/>
          <w:smallCaps w:val="0"/>
          <w:strike w:val="0"/>
          <w:sz w:val="16"/>
          <w:u w:val="none"/>
        </w:rPr>
        <w:t xml:space="preserve">”, Foreign Affairs, 6-4-2024, </w:t>
      </w:r>
      <w:r>
        <w:rPr>
          <w:b w:val="0"/>
          <w:i w:val="0"/>
          <w:smallCaps w:val="0"/>
          <w:strike w:val="0"/>
          <w:sz w:val="16"/>
          <w:u w:val="none"/>
        </w:rPr>
        <w:t>https://www.foreignaffairs.com/china/globalization-dangerous-myth-economy-brad-setser</w:t>
      </w:r>
      <w:r>
        <w:rPr>
          <w:b w:val="0"/>
          <w:i w:val="0"/>
          <w:smallCaps w:val="0"/>
          <w:strike w:val="0"/>
          <w:sz w:val="16"/>
          <w:u w:val="none"/>
        </w:rPr>
        <w:t>)//AN</w:t>
      </w:r>
    </w:p>
    <w:p>
      <w:pPr>
        <w:spacing w:after="60"/>
      </w:pPr>
      <w:r>
        <w:rPr>
          <w:b w:val="0"/>
          <w:i w:val="0"/>
          <w:smallCaps w:val="0"/>
          <w:strike w:val="0"/>
          <w:sz w:val="20"/>
          <w:u w:val="single"/>
        </w:rPr>
        <w:t xml:space="preserve">A </w:t>
      </w:r>
      <w:r>
        <w:rPr>
          <w:b/>
          <w:i w:val="0"/>
          <w:smallCaps w:val="0"/>
          <w:strike w:val="0"/>
          <w:sz w:val="20"/>
          <w:u w:val="single"/>
        </w:rPr>
        <w:t>consensus</w:t>
      </w:r>
      <w:r>
        <w:rPr>
          <w:b w:val="0"/>
          <w:i w:val="0"/>
          <w:smallCaps w:val="0"/>
          <w:strike w:val="0"/>
          <w:sz w:val="20"/>
          <w:u w:val="single"/>
        </w:rPr>
        <w:t xml:space="preserve"> is emerging that the world is </w:t>
      </w:r>
      <w:r>
        <w:rPr>
          <w:b/>
          <w:i w:val="0"/>
          <w:smallCaps w:val="0"/>
          <w:strike w:val="0"/>
          <w:sz w:val="20"/>
          <w:u w:val="single"/>
        </w:rPr>
        <w:t>cleaving into blocs</w:t>
      </w:r>
      <w:r>
        <w:rPr>
          <w:b w:val="0"/>
          <w:i w:val="0"/>
          <w:smallCaps w:val="0"/>
          <w:strike w:val="0"/>
          <w:sz w:val="12"/>
          <w:u w:val="none"/>
        </w:rPr>
        <w:t xml:space="preserve">—not only geopolitically but economically, too. In 2020, the economist Douglas Irwin wrote that “the COVID-19 pandemic is driving the world economy to retreat from global economic integration.” In the years since, how to manage this purported deglobalization has been a consistent theme at World Economic Forum meetings; in May, an Economist cover depicted a map of the world physically fracturing into competing economic blocs. </w:t>
      </w:r>
      <w:r>
        <w:rPr>
          <w:b w:val="0"/>
          <w:i w:val="0"/>
          <w:smallCaps w:val="0"/>
          <w:strike w:val="0"/>
          <w:sz w:val="20"/>
          <w:u w:val="single"/>
        </w:rPr>
        <w:t>The</w:t>
      </w:r>
      <w:r>
        <w:rPr>
          <w:b w:val="0"/>
          <w:i w:val="0"/>
          <w:smallCaps w:val="0"/>
          <w:strike w:val="0"/>
          <w:sz w:val="12"/>
          <w:u w:val="none"/>
        </w:rPr>
        <w:t xml:space="preserve"> associated </w:t>
      </w:r>
      <w:r>
        <w:rPr>
          <w:b w:val="0"/>
          <w:i w:val="0"/>
          <w:smallCaps w:val="0"/>
          <w:strike w:val="0"/>
          <w:sz w:val="20"/>
          <w:u w:val="single"/>
        </w:rPr>
        <w:t xml:space="preserve">story </w:t>
      </w:r>
      <w:r>
        <w:rPr>
          <w:b/>
          <w:i w:val="0"/>
          <w:smallCaps w:val="0"/>
          <w:strike w:val="0"/>
          <w:sz w:val="20"/>
          <w:u w:val="single"/>
        </w:rPr>
        <w:t>presumed</w:t>
      </w:r>
      <w:r>
        <w:rPr>
          <w:b w:val="0"/>
          <w:i w:val="0"/>
          <w:smallCaps w:val="0"/>
          <w:strike w:val="0"/>
          <w:sz w:val="20"/>
          <w:u w:val="single"/>
        </w:rPr>
        <w:t xml:space="preserve"> that deglobalization is a </w:t>
      </w:r>
      <w:r>
        <w:rPr>
          <w:b/>
          <w:i w:val="0"/>
          <w:smallCaps w:val="0"/>
          <w:strike w:val="0"/>
          <w:sz w:val="20"/>
          <w:u w:val="single"/>
        </w:rPr>
        <w:t>long-term</w:t>
      </w:r>
      <w:r>
        <w:rPr>
          <w:b w:val="0"/>
          <w:i w:val="0"/>
          <w:smallCaps w:val="0"/>
          <w:strike w:val="0"/>
          <w:sz w:val="20"/>
          <w:u w:val="single"/>
        </w:rPr>
        <w:t xml:space="preserve"> certainty</w:t>
      </w:r>
      <w:r>
        <w:rPr>
          <w:b w:val="0"/>
          <w:i w:val="0"/>
          <w:smallCaps w:val="0"/>
          <w:strike w:val="0"/>
          <w:sz w:val="12"/>
          <w:u w:val="none"/>
        </w:rPr>
        <w:t>, arguing that it is becoming “visible in the economic data, as investors reprice assets and redirect capital in a less integrated world.” Last week, a Bloomberg columnist piled on, concluding that “global trade and finance are fragmenting into rival and increasingly hostile blocs, one centered on China and extending into the global South and another around the United States and other Western countries.”</w:t>
      </w:r>
    </w:p>
    <w:p>
      <w:pPr>
        <w:spacing w:after="60"/>
      </w:pPr>
      <w:r>
        <w:rPr>
          <w:b w:val="0"/>
          <w:i w:val="0"/>
          <w:smallCaps w:val="0"/>
          <w:strike w:val="0"/>
          <w:sz w:val="12"/>
          <w:u w:val="none"/>
        </w:rPr>
        <w:t xml:space="preserve">But </w:t>
      </w:r>
      <w:r>
        <w:rPr>
          <w:b w:val="0"/>
          <w:i w:val="0"/>
          <w:smallCaps w:val="0"/>
          <w:strike w:val="0"/>
          <w:sz w:val="20"/>
          <w:highlight w:val="cyan"/>
          <w:u w:val="single"/>
        </w:rPr>
        <w:t xml:space="preserve">there is a </w:t>
      </w:r>
      <w:r>
        <w:rPr>
          <w:b/>
          <w:i w:val="0"/>
          <w:smallCaps w:val="0"/>
          <w:strike w:val="0"/>
          <w:sz w:val="20"/>
          <w:highlight w:val="cyan"/>
          <w:u w:val="single"/>
        </w:rPr>
        <w:t>problem</w:t>
      </w:r>
      <w:r>
        <w:rPr>
          <w:b w:val="0"/>
          <w:i w:val="0"/>
          <w:smallCaps w:val="0"/>
          <w:strike w:val="0"/>
          <w:sz w:val="20"/>
          <w:highlight w:val="cyan"/>
          <w:u w:val="single"/>
        </w:rPr>
        <w:t xml:space="preserve"> with the </w:t>
      </w:r>
      <w:r>
        <w:rPr>
          <w:b/>
          <w:i w:val="0"/>
          <w:smallCaps w:val="0"/>
          <w:strike w:val="0"/>
          <w:sz w:val="20"/>
          <w:highlight w:val="cyan"/>
          <w:u w:val="single"/>
        </w:rPr>
        <w:t>assumption</w:t>
      </w:r>
      <w:r>
        <w:rPr>
          <w:b w:val="0"/>
          <w:i w:val="0"/>
          <w:smallCaps w:val="0"/>
          <w:strike w:val="0"/>
          <w:sz w:val="20"/>
          <w:highlight w:val="cyan"/>
          <w:u w:val="single"/>
        </w:rPr>
        <w:t xml:space="preserve"> that deglobalization is</w:t>
      </w:r>
      <w:r>
        <w:rPr>
          <w:b w:val="0"/>
          <w:i w:val="0"/>
          <w:smallCaps w:val="0"/>
          <w:strike w:val="0"/>
          <w:sz w:val="20"/>
          <w:u w:val="single"/>
        </w:rPr>
        <w:t xml:space="preserve"> a </w:t>
      </w:r>
      <w:r>
        <w:rPr>
          <w:b w:val="0"/>
          <w:i w:val="0"/>
          <w:smallCaps w:val="0"/>
          <w:strike w:val="0"/>
          <w:sz w:val="20"/>
          <w:highlight w:val="cyan"/>
          <w:u w:val="single"/>
        </w:rPr>
        <w:t>fact</w:t>
      </w:r>
      <w:r>
        <w:rPr>
          <w:b w:val="0"/>
          <w:i w:val="0"/>
          <w:smallCaps w:val="0"/>
          <w:strike w:val="0"/>
          <w:sz w:val="12"/>
          <w:u w:val="none"/>
        </w:rPr>
        <w:t xml:space="preserve"> on the ground: </w:t>
      </w:r>
      <w:r>
        <w:rPr>
          <w:b w:val="0"/>
          <w:i w:val="0"/>
          <w:smallCaps w:val="0"/>
          <w:strike w:val="0"/>
          <w:sz w:val="20"/>
          <w:u w:val="single"/>
        </w:rPr>
        <w:t xml:space="preserve">the </w:t>
      </w:r>
      <w:r>
        <w:rPr>
          <w:b w:val="0"/>
          <w:i w:val="0"/>
          <w:smallCaps w:val="0"/>
          <w:strike w:val="0"/>
          <w:sz w:val="20"/>
          <w:highlight w:val="cyan"/>
          <w:u w:val="single"/>
        </w:rPr>
        <w:t xml:space="preserve">data </w:t>
      </w:r>
      <w:r>
        <w:rPr>
          <w:b/>
          <w:i w:val="0"/>
          <w:smallCaps w:val="0"/>
          <w:strike w:val="0"/>
          <w:sz w:val="20"/>
          <w:highlight w:val="cyan"/>
          <w:u w:val="single"/>
        </w:rPr>
        <w:t>does not</w:t>
      </w:r>
      <w:r>
        <w:rPr>
          <w:b w:val="0"/>
          <w:i w:val="0"/>
          <w:smallCaps w:val="0"/>
          <w:strike w:val="0"/>
          <w:sz w:val="12"/>
          <w:u w:val="none"/>
        </w:rPr>
        <w:t xml:space="preserve"> fully </w:t>
      </w:r>
      <w:r>
        <w:rPr>
          <w:b/>
          <w:i w:val="0"/>
          <w:smallCaps w:val="0"/>
          <w:strike w:val="0"/>
          <w:sz w:val="20"/>
          <w:highlight w:val="cyan"/>
          <w:u w:val="single"/>
        </w:rPr>
        <w:t>back it up</w:t>
      </w:r>
      <w:r>
        <w:rPr>
          <w:b w:val="0"/>
          <w:i w:val="0"/>
          <w:smallCaps w:val="0"/>
          <w:strike w:val="0"/>
          <w:sz w:val="12"/>
          <w:u w:val="none"/>
        </w:rPr>
        <w:t xml:space="preserve">. As evidence of continuing deglobalization, </w:t>
      </w:r>
      <w:r>
        <w:rPr>
          <w:b w:val="0"/>
          <w:i w:val="0"/>
          <w:smallCaps w:val="0"/>
          <w:strike w:val="0"/>
          <w:sz w:val="20"/>
          <w:highlight w:val="cyan"/>
          <w:u w:val="single"/>
        </w:rPr>
        <w:t>observers</w:t>
      </w:r>
      <w:r>
        <w:rPr>
          <w:b w:val="0"/>
          <w:i w:val="0"/>
          <w:smallCaps w:val="0"/>
          <w:strike w:val="0"/>
          <w:sz w:val="20"/>
          <w:u w:val="single"/>
        </w:rPr>
        <w:t xml:space="preserve"> often </w:t>
      </w:r>
      <w:r>
        <w:rPr>
          <w:b w:val="0"/>
          <w:i w:val="0"/>
          <w:smallCaps w:val="0"/>
          <w:strike w:val="0"/>
          <w:sz w:val="20"/>
          <w:highlight w:val="cyan"/>
          <w:u w:val="single"/>
        </w:rPr>
        <w:t>cite</w:t>
      </w:r>
      <w:r>
        <w:rPr>
          <w:b w:val="0"/>
          <w:i w:val="0"/>
          <w:smallCaps w:val="0"/>
          <w:strike w:val="0"/>
          <w:sz w:val="12"/>
          <w:u w:val="none"/>
        </w:rPr>
        <w:t xml:space="preserve"> phenomena such as </w:t>
      </w:r>
      <w:r>
        <w:rPr>
          <w:b w:val="0"/>
          <w:i w:val="0"/>
          <w:smallCaps w:val="0"/>
          <w:strike w:val="0"/>
          <w:sz w:val="20"/>
          <w:highlight w:val="cyan"/>
          <w:u w:val="single"/>
        </w:rPr>
        <w:t>the</w:t>
      </w:r>
      <w:r>
        <w:rPr>
          <w:b w:val="0"/>
          <w:i w:val="0"/>
          <w:smallCaps w:val="0"/>
          <w:strike w:val="0"/>
          <w:sz w:val="20"/>
          <w:u w:val="single"/>
        </w:rPr>
        <w:t xml:space="preserve"> United States’ </w:t>
      </w:r>
      <w:r>
        <w:rPr>
          <w:b/>
          <w:i w:val="0"/>
          <w:smallCaps w:val="0"/>
          <w:strike w:val="0"/>
          <w:sz w:val="20"/>
          <w:highlight w:val="cyan"/>
          <w:u w:val="single"/>
        </w:rPr>
        <w:t>reluctance</w:t>
      </w:r>
      <w:r>
        <w:rPr>
          <w:b w:val="0"/>
          <w:i w:val="0"/>
          <w:smallCaps w:val="0"/>
          <w:strike w:val="0"/>
          <w:sz w:val="20"/>
          <w:highlight w:val="cyan"/>
          <w:u w:val="single"/>
        </w:rPr>
        <w:t xml:space="preserve"> to establish new free-trade deals</w:t>
      </w:r>
      <w:r>
        <w:rPr>
          <w:b w:val="0"/>
          <w:i w:val="0"/>
          <w:smallCaps w:val="0"/>
          <w:strike w:val="0"/>
          <w:sz w:val="20"/>
          <w:u w:val="single"/>
        </w:rPr>
        <w:t>, the</w:t>
      </w:r>
      <w:r>
        <w:rPr>
          <w:b w:val="0"/>
          <w:i w:val="0"/>
          <w:smallCaps w:val="0"/>
          <w:strike w:val="0"/>
          <w:sz w:val="12"/>
          <w:u w:val="none"/>
        </w:rPr>
        <w:t xml:space="preserve"> </w:t>
      </w:r>
      <w:r>
        <w:rPr>
          <w:b/>
          <w:i w:val="0"/>
          <w:smallCaps w:val="0"/>
          <w:strike w:val="0"/>
          <w:sz w:val="20"/>
          <w:highlight w:val="cyan"/>
          <w:u w:val="single"/>
        </w:rPr>
        <w:t>debilitation</w:t>
      </w:r>
      <w:r>
        <w:rPr>
          <w:b w:val="0"/>
          <w:i w:val="0"/>
          <w:smallCaps w:val="0"/>
          <w:strike w:val="0"/>
          <w:sz w:val="20"/>
          <w:highlight w:val="cyan"/>
          <w:u w:val="single"/>
        </w:rPr>
        <w:t xml:space="preserve"> of the</w:t>
      </w:r>
      <w:r>
        <w:rPr>
          <w:b w:val="0"/>
          <w:i w:val="0"/>
          <w:smallCaps w:val="0"/>
          <w:strike w:val="0"/>
          <w:sz w:val="12"/>
          <w:u w:val="none"/>
        </w:rPr>
        <w:t xml:space="preserve"> dispute-settlement system overseen by the </w:t>
      </w:r>
      <w:r>
        <w:rPr>
          <w:b w:val="0"/>
          <w:i w:val="0"/>
          <w:smallCaps w:val="0"/>
          <w:strike w:val="0"/>
          <w:sz w:val="20"/>
          <w:u w:val="single"/>
        </w:rPr>
        <w:t>World Trade Organization (</w:t>
      </w:r>
      <w:r>
        <w:rPr>
          <w:b w:val="0"/>
          <w:i w:val="0"/>
          <w:smallCaps w:val="0"/>
          <w:strike w:val="0"/>
          <w:sz w:val="20"/>
          <w:highlight w:val="cyan"/>
          <w:u w:val="single"/>
        </w:rPr>
        <w:t>WTO</w:t>
      </w:r>
      <w:r>
        <w:rPr>
          <w:b w:val="0"/>
          <w:i w:val="0"/>
          <w:smallCaps w:val="0"/>
          <w:strike w:val="0"/>
          <w:sz w:val="20"/>
          <w:u w:val="single"/>
        </w:rPr>
        <w:t>)</w:t>
      </w:r>
      <w:r>
        <w:rPr>
          <w:b w:val="0"/>
          <w:i w:val="0"/>
          <w:smallCaps w:val="0"/>
          <w:strike w:val="0"/>
          <w:sz w:val="12"/>
          <w:u w:val="none"/>
        </w:rPr>
        <w:t>, the proliferation of new national measures restricting trade, and declines in both short- and long-term capital flows from their past peaks. The COVID-19 pandemic certainly did reveal that economic interdependence carries risks, and the efforts Russia has made since 2022 to use its natural gas pipelines to influence the G-7’s response to its invasion of Ukraine—</w:t>
      </w:r>
      <w:r>
        <w:rPr>
          <w:b w:val="0"/>
          <w:i w:val="0"/>
          <w:smallCaps w:val="0"/>
          <w:strike w:val="0"/>
          <w:sz w:val="20"/>
          <w:u w:val="single"/>
        </w:rPr>
        <w:t>as well as</w:t>
      </w:r>
      <w:r>
        <w:rPr>
          <w:b w:val="0"/>
          <w:i w:val="0"/>
          <w:smallCaps w:val="0"/>
          <w:strike w:val="0"/>
          <w:sz w:val="12"/>
          <w:u w:val="none"/>
        </w:rPr>
        <w:t xml:space="preserve"> the many </w:t>
      </w:r>
      <w:r>
        <w:rPr>
          <w:b w:val="0"/>
          <w:i w:val="0"/>
          <w:smallCaps w:val="0"/>
          <w:strike w:val="0"/>
          <w:sz w:val="20"/>
          <w:highlight w:val="cyan"/>
          <w:u w:val="single"/>
        </w:rPr>
        <w:t>sanctions the G-7 has imposed to</w:t>
      </w:r>
      <w:r>
        <w:rPr>
          <w:b w:val="0"/>
          <w:i w:val="0"/>
          <w:smallCaps w:val="0"/>
          <w:strike w:val="0"/>
          <w:sz w:val="12"/>
          <w:u w:val="none"/>
        </w:rPr>
        <w:t xml:space="preserve"> try to </w:t>
      </w:r>
      <w:r>
        <w:rPr>
          <w:b/>
          <w:i w:val="0"/>
          <w:smallCaps w:val="0"/>
          <w:strike w:val="0"/>
          <w:sz w:val="20"/>
          <w:highlight w:val="cyan"/>
          <w:u w:val="single"/>
        </w:rPr>
        <w:t>weaken</w:t>
      </w:r>
      <w:r>
        <w:rPr>
          <w:b w:val="0"/>
          <w:i w:val="0"/>
          <w:smallCaps w:val="0"/>
          <w:strike w:val="0"/>
          <w:sz w:val="20"/>
          <w:highlight w:val="cyan"/>
          <w:u w:val="single"/>
        </w:rPr>
        <w:t xml:space="preserve"> Russia</w:t>
      </w:r>
      <w:r>
        <w:rPr>
          <w:b w:val="0"/>
          <w:i w:val="0"/>
          <w:smallCaps w:val="0"/>
          <w:strike w:val="0"/>
          <w:sz w:val="20"/>
          <w:u w:val="single"/>
        </w:rPr>
        <w:t xml:space="preserve">’s </w:t>
      </w:r>
      <w:r>
        <w:rPr>
          <w:b/>
          <w:i w:val="0"/>
          <w:smallCaps w:val="0"/>
          <w:strike w:val="0"/>
          <w:sz w:val="20"/>
          <w:u w:val="single"/>
        </w:rPr>
        <w:t>economy</w:t>
      </w:r>
      <w:r>
        <w:rPr>
          <w:b w:val="0"/>
          <w:i w:val="0"/>
          <w:smallCaps w:val="0"/>
          <w:strike w:val="0"/>
          <w:sz w:val="12"/>
          <w:u w:val="none"/>
        </w:rPr>
        <w:t xml:space="preserve">—have highlighted the vulnerabilities that can arise when countries trade across geopolitical divides. But </w:t>
      </w:r>
      <w:r>
        <w:rPr>
          <w:b w:val="0"/>
          <w:i w:val="0"/>
          <w:smallCaps w:val="0"/>
          <w:strike w:val="0"/>
          <w:sz w:val="20"/>
          <w:highlight w:val="cyan"/>
          <w:u w:val="single"/>
        </w:rPr>
        <w:t xml:space="preserve">a </w:t>
      </w:r>
      <w:r>
        <w:rPr>
          <w:b/>
          <w:i w:val="0"/>
          <w:smallCaps w:val="0"/>
          <w:strike w:val="0"/>
          <w:sz w:val="20"/>
          <w:highlight w:val="cyan"/>
          <w:u w:val="single"/>
        </w:rPr>
        <w:t>closer look</w:t>
      </w:r>
      <w:r>
        <w:rPr>
          <w:b w:val="0"/>
          <w:i w:val="0"/>
          <w:smallCaps w:val="0"/>
          <w:strike w:val="0"/>
          <w:sz w:val="20"/>
          <w:highlight w:val="cyan"/>
          <w:u w:val="single"/>
        </w:rPr>
        <w:t xml:space="preserve"> at</w:t>
      </w:r>
      <w:r>
        <w:rPr>
          <w:b w:val="0"/>
          <w:i w:val="0"/>
          <w:smallCaps w:val="0"/>
          <w:strike w:val="0"/>
          <w:sz w:val="20"/>
          <w:u w:val="single"/>
        </w:rPr>
        <w:t xml:space="preserve"> economic </w:t>
      </w:r>
      <w:r>
        <w:rPr>
          <w:b w:val="0"/>
          <w:i w:val="0"/>
          <w:smallCaps w:val="0"/>
          <w:strike w:val="0"/>
          <w:sz w:val="20"/>
          <w:highlight w:val="cyan"/>
          <w:u w:val="single"/>
        </w:rPr>
        <w:t>data shows</w:t>
      </w:r>
      <w:r>
        <w:rPr>
          <w:b w:val="0"/>
          <w:i w:val="0"/>
          <w:smallCaps w:val="0"/>
          <w:strike w:val="0"/>
          <w:sz w:val="20"/>
          <w:u w:val="single"/>
        </w:rPr>
        <w:t xml:space="preserve"> that</w:t>
      </w:r>
      <w:r>
        <w:rPr>
          <w:b w:val="0"/>
          <w:i w:val="0"/>
          <w:smallCaps w:val="0"/>
          <w:strike w:val="0"/>
          <w:sz w:val="12"/>
          <w:u w:val="none"/>
        </w:rPr>
        <w:t xml:space="preserve"> even though governments have increasingly adopted policies aimed at strengthening their own resilience, </w:t>
      </w:r>
      <w:r>
        <w:rPr>
          <w:b w:val="0"/>
          <w:i w:val="0"/>
          <w:smallCaps w:val="0"/>
          <w:strike w:val="0"/>
          <w:sz w:val="20"/>
          <w:highlight w:val="cyan"/>
          <w:u w:val="single"/>
        </w:rPr>
        <w:t>the world economy is</w:t>
      </w:r>
      <w:r>
        <w:rPr>
          <w:b w:val="0"/>
          <w:i w:val="0"/>
          <w:smallCaps w:val="0"/>
          <w:strike w:val="0"/>
          <w:sz w:val="20"/>
          <w:u w:val="single"/>
        </w:rPr>
        <w:t xml:space="preserve"> still </w:t>
      </w:r>
      <w:r>
        <w:rPr>
          <w:b/>
          <w:i w:val="0"/>
          <w:smallCaps w:val="0"/>
          <w:strike w:val="0"/>
          <w:sz w:val="20"/>
          <w:highlight w:val="cyan"/>
          <w:u w:val="single"/>
        </w:rPr>
        <w:t>evolving</w:t>
      </w:r>
      <w:r>
        <w:rPr>
          <w:b w:val="0"/>
          <w:i w:val="0"/>
          <w:smallCaps w:val="0"/>
          <w:strike w:val="0"/>
          <w:sz w:val="20"/>
          <w:highlight w:val="cyan"/>
          <w:u w:val="single"/>
        </w:rPr>
        <w:t xml:space="preserve"> to become </w:t>
      </w:r>
      <w:r>
        <w:rPr>
          <w:b/>
          <w:i w:val="0"/>
          <w:smallCaps w:val="0"/>
          <w:strike w:val="0"/>
          <w:sz w:val="20"/>
          <w:highlight w:val="cyan"/>
          <w:u w:val="single"/>
        </w:rPr>
        <w:t>more, not less</w:t>
      </w:r>
      <w:r>
        <w:rPr>
          <w:b w:val="0"/>
          <w:i w:val="0"/>
          <w:smallCaps w:val="0"/>
          <w:strike w:val="0"/>
          <w:sz w:val="20"/>
          <w:highlight w:val="cyan"/>
          <w:u w:val="single"/>
        </w:rPr>
        <w:t>, globalized in key ways</w:t>
      </w:r>
      <w:r>
        <w:rPr>
          <w:b w:val="0"/>
          <w:i w:val="0"/>
          <w:smallCaps w:val="0"/>
          <w:strike w:val="0"/>
          <w:sz w:val="12"/>
          <w:u w:val="none"/>
        </w:rPr>
        <w:t>—and more dependent on Chinese supply in particular.</w:t>
      </w:r>
    </w:p>
    <w:p>
      <w:pPr>
        <w:spacing w:after="60"/>
      </w:pPr>
      <w:r>
        <w:rPr>
          <w:b w:val="0"/>
          <w:i w:val="0"/>
          <w:smallCaps w:val="0"/>
          <w:strike w:val="0"/>
          <w:sz w:val="20"/>
          <w:highlight w:val="cyan"/>
          <w:u w:val="single"/>
        </w:rPr>
        <w:t xml:space="preserve">Global </w:t>
      </w:r>
      <w:r>
        <w:rPr>
          <w:b/>
          <w:i w:val="0"/>
          <w:smallCaps w:val="0"/>
          <w:strike w:val="0"/>
          <w:sz w:val="20"/>
          <w:highlight w:val="cyan"/>
          <w:u w:val="single"/>
        </w:rPr>
        <w:t>trade surged</w:t>
      </w:r>
      <w:r>
        <w:rPr>
          <w:b w:val="0"/>
          <w:i w:val="0"/>
          <w:smallCaps w:val="0"/>
          <w:strike w:val="0"/>
          <w:sz w:val="20"/>
          <w:highlight w:val="cyan"/>
          <w:u w:val="single"/>
        </w:rPr>
        <w:t xml:space="preserve"> during the pandemic</w:t>
      </w:r>
      <w:r>
        <w:rPr>
          <w:b w:val="0"/>
          <w:i w:val="0"/>
          <w:smallCaps w:val="0"/>
          <w:strike w:val="0"/>
          <w:sz w:val="12"/>
          <w:u w:val="none"/>
        </w:rPr>
        <w:t xml:space="preserve">, and the world’s trade with China accelerated rather than slowed. </w:t>
      </w:r>
      <w:r>
        <w:rPr>
          <w:b w:val="0"/>
          <w:i w:val="0"/>
          <w:smallCaps w:val="0"/>
          <w:strike w:val="0"/>
          <w:sz w:val="20"/>
          <w:u w:val="single"/>
        </w:rPr>
        <w:t xml:space="preserve">A pandemic-era </w:t>
      </w:r>
      <w:r>
        <w:rPr>
          <w:b w:val="0"/>
          <w:i w:val="0"/>
          <w:smallCaps w:val="0"/>
          <w:strike w:val="0"/>
          <w:sz w:val="20"/>
          <w:highlight w:val="cyan"/>
          <w:u w:val="single"/>
        </w:rPr>
        <w:t xml:space="preserve">shift toward </w:t>
      </w:r>
      <w:r>
        <w:rPr>
          <w:b/>
          <w:i w:val="0"/>
          <w:smallCaps w:val="0"/>
          <w:strike w:val="0"/>
          <w:sz w:val="20"/>
          <w:highlight w:val="cyan"/>
          <w:u w:val="single"/>
        </w:rPr>
        <w:t>goods</w:t>
      </w:r>
      <w:r>
        <w:rPr>
          <w:b w:val="0"/>
          <w:i w:val="0"/>
          <w:smallCaps w:val="0"/>
          <w:strike w:val="0"/>
          <w:sz w:val="12"/>
          <w:u w:val="none"/>
        </w:rPr>
        <w:t xml:space="preserve"> and away from services partly </w:t>
      </w:r>
      <w:r>
        <w:rPr>
          <w:b w:val="0"/>
          <w:i w:val="0"/>
          <w:smallCaps w:val="0"/>
          <w:strike w:val="0"/>
          <w:sz w:val="20"/>
          <w:highlight w:val="cyan"/>
          <w:u w:val="single"/>
        </w:rPr>
        <w:t>accounts for</w:t>
      </w:r>
      <w:r>
        <w:rPr>
          <w:b w:val="0"/>
          <w:i w:val="0"/>
          <w:smallCaps w:val="0"/>
          <w:strike w:val="0"/>
          <w:sz w:val="20"/>
          <w:u w:val="single"/>
        </w:rPr>
        <w:t xml:space="preserve"> the </w:t>
      </w:r>
      <w:r>
        <w:rPr>
          <w:b/>
          <w:i w:val="0"/>
          <w:smallCaps w:val="0"/>
          <w:strike w:val="0"/>
          <w:sz w:val="20"/>
          <w:highlight w:val="cyan"/>
          <w:u w:val="single"/>
        </w:rPr>
        <w:t>acceleration</w:t>
      </w:r>
      <w:r>
        <w:rPr>
          <w:b w:val="0"/>
          <w:i w:val="0"/>
          <w:smallCaps w:val="0"/>
          <w:strike w:val="0"/>
          <w:sz w:val="12"/>
          <w:u w:val="none"/>
        </w:rPr>
        <w:t>. But the growth in trade with China also reflects the fact that China is simply producing things—high-tech exports such as electric vehicles, wind turbines, solar panels, and vital electronic and battery components—at a price point few can match. Between 2019 and 2023, China’s manufacturing surplus rose by about a percentage point of global GDP; it is now far larger than the surpluses run by Germany and Japan, the world’s other manufacturing powerhouses.</w:t>
      </w:r>
    </w:p>
    <w:p>
      <w:pPr>
        <w:spacing w:after="60"/>
      </w:pPr>
      <w:r>
        <w:rPr>
          <w:b w:val="0"/>
          <w:i w:val="0"/>
          <w:smallCaps w:val="0"/>
          <w:strike w:val="0"/>
          <w:sz w:val="20"/>
          <w:u w:val="single"/>
        </w:rPr>
        <w:t xml:space="preserve">There is also </w:t>
      </w:r>
      <w:r>
        <w:rPr>
          <w:b/>
          <w:i w:val="0"/>
          <w:smallCaps w:val="0"/>
          <w:strike w:val="0"/>
          <w:sz w:val="20"/>
          <w:u w:val="single"/>
        </w:rPr>
        <w:t>less</w:t>
      </w:r>
      <w:r>
        <w:rPr>
          <w:b w:val="0"/>
          <w:i w:val="0"/>
          <w:smallCaps w:val="0"/>
          <w:strike w:val="0"/>
          <w:sz w:val="20"/>
          <w:u w:val="single"/>
        </w:rPr>
        <w:t xml:space="preserve"> to the fall in capital flows </w:t>
      </w:r>
      <w:r>
        <w:rPr>
          <w:b/>
          <w:i w:val="0"/>
          <w:smallCaps w:val="0"/>
          <w:strike w:val="0"/>
          <w:sz w:val="20"/>
          <w:u w:val="single"/>
        </w:rPr>
        <w:t>than meets the eye</w:t>
      </w:r>
      <w:r>
        <w:rPr>
          <w:b w:val="0"/>
          <w:i w:val="0"/>
          <w:smallCaps w:val="0"/>
          <w:strike w:val="0"/>
          <w:sz w:val="12"/>
          <w:u w:val="none"/>
        </w:rPr>
        <w:t xml:space="preserve">. </w:t>
      </w:r>
      <w:r>
        <w:rPr>
          <w:b w:val="0"/>
          <w:i w:val="0"/>
          <w:smallCaps w:val="0"/>
          <w:strike w:val="0"/>
          <w:sz w:val="20"/>
          <w:highlight w:val="cyan"/>
          <w:u w:val="single"/>
        </w:rPr>
        <w:t>The decline in foreign</w:t>
      </w:r>
      <w:r>
        <w:rPr>
          <w:b w:val="0"/>
          <w:i w:val="0"/>
          <w:smallCaps w:val="0"/>
          <w:strike w:val="0"/>
          <w:sz w:val="20"/>
          <w:u w:val="single"/>
        </w:rPr>
        <w:t xml:space="preserve"> direct </w:t>
      </w:r>
      <w:r>
        <w:rPr>
          <w:b w:val="0"/>
          <w:i w:val="0"/>
          <w:smallCaps w:val="0"/>
          <w:strike w:val="0"/>
          <w:sz w:val="20"/>
          <w:highlight w:val="cyan"/>
          <w:u w:val="single"/>
        </w:rPr>
        <w:t>investment</w:t>
      </w:r>
      <w:r>
        <w:rPr>
          <w:b w:val="0"/>
          <w:i w:val="0"/>
          <w:smallCaps w:val="0"/>
          <w:strike w:val="0"/>
          <w:sz w:val="12"/>
          <w:u w:val="none"/>
        </w:rPr>
        <w:t xml:space="preserve"> (FDI) after 2016, for example, </w:t>
      </w:r>
      <w:r>
        <w:rPr>
          <w:b w:val="0"/>
          <w:i w:val="0"/>
          <w:smallCaps w:val="0"/>
          <w:strike w:val="0"/>
          <w:sz w:val="20"/>
          <w:u w:val="single"/>
        </w:rPr>
        <w:t xml:space="preserve">largely </w:t>
      </w:r>
      <w:r>
        <w:rPr>
          <w:b/>
          <w:i w:val="0"/>
          <w:smallCaps w:val="0"/>
          <w:strike w:val="0"/>
          <w:sz w:val="20"/>
          <w:highlight w:val="cyan"/>
          <w:u w:val="single"/>
        </w:rPr>
        <w:t>resulted</w:t>
      </w:r>
      <w:r>
        <w:rPr>
          <w:b w:val="0"/>
          <w:i w:val="0"/>
          <w:smallCaps w:val="0"/>
          <w:strike w:val="0"/>
          <w:sz w:val="20"/>
          <w:u w:val="single"/>
        </w:rPr>
        <w:t xml:space="preserve"> </w:t>
      </w:r>
      <w:r>
        <w:rPr>
          <w:b w:val="0"/>
          <w:i w:val="0"/>
          <w:smallCaps w:val="0"/>
          <w:strike w:val="0"/>
          <w:sz w:val="20"/>
          <w:highlight w:val="cyan"/>
          <w:u w:val="single"/>
        </w:rPr>
        <w:t>from</w:t>
      </w:r>
      <w:r>
        <w:rPr>
          <w:b w:val="0"/>
          <w:i w:val="0"/>
          <w:smallCaps w:val="0"/>
          <w:strike w:val="0"/>
          <w:sz w:val="20"/>
          <w:u w:val="single"/>
        </w:rPr>
        <w:t xml:space="preserve"> </w:t>
      </w:r>
      <w:r>
        <w:rPr>
          <w:b/>
          <w:i w:val="0"/>
          <w:smallCaps w:val="0"/>
          <w:strike w:val="0"/>
          <w:sz w:val="20"/>
          <w:u w:val="single"/>
        </w:rPr>
        <w:t xml:space="preserve">specific </w:t>
      </w:r>
      <w:r>
        <w:rPr>
          <w:b/>
          <w:i w:val="0"/>
          <w:smallCaps w:val="0"/>
          <w:strike w:val="0"/>
          <w:sz w:val="20"/>
          <w:highlight w:val="cyan"/>
          <w:u w:val="single"/>
        </w:rPr>
        <w:t>changes</w:t>
      </w:r>
      <w:r>
        <w:rPr>
          <w:b w:val="0"/>
          <w:i w:val="0"/>
          <w:smallCaps w:val="0"/>
          <w:strike w:val="0"/>
          <w:sz w:val="20"/>
          <w:highlight w:val="cyan"/>
          <w:u w:val="single"/>
        </w:rPr>
        <w:t xml:space="preserve"> in tax regulations</w:t>
      </w:r>
      <w:r>
        <w:rPr>
          <w:b w:val="0"/>
          <w:i w:val="0"/>
          <w:smallCaps w:val="0"/>
          <w:strike w:val="0"/>
          <w:sz w:val="12"/>
          <w:u w:val="none"/>
        </w:rPr>
        <w:t xml:space="preserve"> that led to a big reduction in the use of special-purpose vehicles in Luxembourg, the Netherlands, and a few other key European tax centers. And </w:t>
      </w:r>
      <w:r>
        <w:rPr>
          <w:b w:val="0"/>
          <w:i w:val="0"/>
          <w:smallCaps w:val="0"/>
          <w:strike w:val="0"/>
          <w:sz w:val="20"/>
          <w:highlight w:val="cyan"/>
          <w:u w:val="single"/>
        </w:rPr>
        <w:t>that</w:t>
      </w:r>
      <w:r>
        <w:rPr>
          <w:b w:val="0"/>
          <w:i w:val="0"/>
          <w:smallCaps w:val="0"/>
          <w:strike w:val="0"/>
          <w:sz w:val="20"/>
          <w:u w:val="single"/>
        </w:rPr>
        <w:t xml:space="preserve"> tax simplification </w:t>
      </w:r>
      <w:r>
        <w:rPr>
          <w:b w:val="0"/>
          <w:i w:val="0"/>
          <w:smallCaps w:val="0"/>
          <w:strike w:val="0"/>
          <w:sz w:val="20"/>
          <w:highlight w:val="cyan"/>
          <w:u w:val="single"/>
        </w:rPr>
        <w:t xml:space="preserve">has </w:t>
      </w:r>
      <w:r>
        <w:rPr>
          <w:b/>
          <w:i w:val="0"/>
          <w:smallCaps w:val="0"/>
          <w:strike w:val="0"/>
          <w:sz w:val="20"/>
          <w:highlight w:val="cyan"/>
          <w:u w:val="single"/>
        </w:rPr>
        <w:t>not blunted</w:t>
      </w:r>
      <w:r>
        <w:rPr>
          <w:b w:val="0"/>
          <w:i w:val="0"/>
          <w:smallCaps w:val="0"/>
          <w:strike w:val="0"/>
          <w:sz w:val="12"/>
          <w:u w:val="none"/>
        </w:rPr>
        <w:t xml:space="preserve"> one of the less savory forms of globalization: </w:t>
      </w:r>
      <w:r>
        <w:rPr>
          <w:b/>
          <w:i w:val="0"/>
          <w:smallCaps w:val="0"/>
          <w:strike w:val="0"/>
          <w:sz w:val="20"/>
          <w:highlight w:val="cyan"/>
          <w:u w:val="single"/>
        </w:rPr>
        <w:t>trade</w:t>
      </w:r>
      <w:r>
        <w:rPr>
          <w:b w:val="0"/>
          <w:i w:val="0"/>
          <w:smallCaps w:val="0"/>
          <w:strike w:val="0"/>
          <w:sz w:val="20"/>
          <w:highlight w:val="cyan"/>
          <w:u w:val="single"/>
        </w:rPr>
        <w:t xml:space="preserve"> and financial flows</w:t>
      </w:r>
      <w:r>
        <w:rPr>
          <w:b w:val="0"/>
          <w:i w:val="0"/>
          <w:smallCaps w:val="0"/>
          <w:strike w:val="0"/>
          <w:sz w:val="12"/>
          <w:u w:val="none"/>
        </w:rPr>
        <w:t xml:space="preserve"> that appear to serve only as a vehicle for multinational tax avoidance.</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