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indicators are </w:t>
      </w:r>
      <w:r>
        <w:rPr>
          <w:b/>
          <w:i w:val="0"/>
          <w:smallCaps w:val="0"/>
          <w:strike w:val="0"/>
          <w:sz w:val="24"/>
          <w:u w:val="single"/>
        </w:rPr>
        <w:t>ineffective</w:t>
      </w:r>
      <w:r>
        <w:rPr>
          <w:b/>
          <w:i w:val="0"/>
          <w:smallCaps w:val="0"/>
          <w:strike w:val="0"/>
          <w:sz w:val="24"/>
          <w:u w:val="none"/>
        </w:rPr>
        <w:t xml:space="preserve">---overall data demonstrates </w:t>
      </w:r>
      <w:r>
        <w:rPr>
          <w:b/>
          <w:i w:val="0"/>
          <w:smallCaps w:val="0"/>
          <w:strike w:val="0"/>
          <w:sz w:val="24"/>
          <w:u w:val="single"/>
        </w:rPr>
        <w:t>growth</w:t>
      </w:r>
      <w:r>
        <w:rPr>
          <w:b/>
          <w:i w:val="0"/>
          <w:smallCaps w:val="0"/>
          <w:strike w:val="0"/>
          <w:sz w:val="24"/>
          <w:u w:val="none"/>
        </w:rPr>
        <w:t xml:space="preserve"> of </w:t>
      </w:r>
      <w:r>
        <w:rPr>
          <w:b/>
          <w:i w:val="0"/>
          <w:smallCaps w:val="0"/>
          <w:strike w:val="0"/>
          <w:sz w:val="24"/>
          <w:u w:val="single"/>
        </w:rPr>
        <w:t>globalization</w:t>
      </w:r>
    </w:p>
    <w:p>
      <w:pPr>
        <w:spacing w:after="80"/>
      </w:pPr>
      <w:r>
        <w:rPr>
          <w:b/>
          <w:i w:val="0"/>
          <w:smallCaps w:val="0"/>
          <w:strike w:val="0"/>
          <w:sz w:val="24"/>
          <w:u w:val="none"/>
        </w:rPr>
        <w:t>Lincicome 23</w:t>
      </w:r>
      <w:r>
        <w:rPr>
          <w:b w:val="0"/>
          <w:i w:val="0"/>
          <w:smallCaps w:val="0"/>
          <w:strike w:val="0"/>
          <w:sz w:val="16"/>
          <w:u w:val="none"/>
        </w:rPr>
        <w:t xml:space="preserve">---Scott Lincicome is the vice president of general economics and Cato’s Herbert A. Stiefel Center for Trade Policy Studies. He writes on international and domestic economic issues, including international trade; subsidies and industrial policy; manufacturing and global supply chains; and economic dynamism. (“Globalization Isn’t Going Anywhere”, Cato Institute, 9-12-2023, </w:t>
      </w:r>
      <w:r>
        <w:rPr>
          <w:b w:val="0"/>
          <w:i w:val="0"/>
          <w:smallCaps w:val="0"/>
          <w:strike w:val="0"/>
          <w:sz w:val="16"/>
          <w:u w:val="none"/>
        </w:rPr>
        <w:t>https://www.cato.org/publications/globalization-isnt-going-anywhere</w:t>
      </w:r>
      <w:r>
        <w:rPr>
          <w:b w:val="0"/>
          <w:i w:val="0"/>
          <w:smallCaps w:val="0"/>
          <w:strike w:val="0"/>
          <w:sz w:val="16"/>
          <w:u w:val="none"/>
        </w:rPr>
        <w:t>)</w:t>
      </w:r>
      <w:r>
        <w:rPr>
          <w:b w:val="0"/>
          <w:i w:val="0"/>
          <w:smallCaps w:val="0"/>
          <w:strike w:val="0"/>
          <w:sz w:val="16"/>
          <w:u w:val="none"/>
        </w:rPr>
        <w:t>//AN</w:t>
      </w:r>
    </w:p>
    <w:p>
      <w:pPr>
        <w:spacing w:after="60"/>
      </w:pPr>
      <w:r>
        <w:rPr>
          <w:b w:val="0"/>
          <w:i w:val="0"/>
          <w:smallCaps w:val="0"/>
          <w:strike w:val="0"/>
          <w:sz w:val="16"/>
          <w:u w:val="none"/>
        </w:rPr>
        <w:t xml:space="preserve">The pandemic, Ukraine, simmering U.S.-China tensions, and rising American populism have led many politicians and pundits to boldly proclaim that a new era of de‐​globalization is upon us. Factories are “re‐​shoring,” economies are “decoupling,” and everyone has abandoned “neoliberal” free trade. </w:t>
      </w:r>
      <w:r>
        <w:rPr>
          <w:b w:val="0"/>
          <w:i w:val="0"/>
          <w:smallCaps w:val="0"/>
          <w:strike w:val="0"/>
          <w:sz w:val="20"/>
          <w:highlight w:val="cyan"/>
          <w:u w:val="single"/>
        </w:rPr>
        <w:t>Some</w:t>
      </w:r>
      <w:r>
        <w:rPr>
          <w:b w:val="0"/>
          <w:i w:val="0"/>
          <w:smallCaps w:val="0"/>
          <w:strike w:val="0"/>
          <w:sz w:val="20"/>
          <w:u w:val="single"/>
        </w:rPr>
        <w:t xml:space="preserve"> have gone so far as to</w:t>
      </w:r>
      <w:r>
        <w:rPr>
          <w:b w:val="0"/>
          <w:i w:val="0"/>
          <w:smallCaps w:val="0"/>
          <w:strike w:val="0"/>
          <w:sz w:val="16"/>
          <w:u w:val="none"/>
        </w:rPr>
        <w:t xml:space="preserve"> openly—and ominously—</w:t>
      </w:r>
      <w:r>
        <w:rPr>
          <w:b/>
          <w:i w:val="0"/>
          <w:smallCaps w:val="0"/>
          <w:strike w:val="0"/>
          <w:sz w:val="20"/>
          <w:highlight w:val="cyan"/>
          <w:u w:val="single"/>
        </w:rPr>
        <w:t>wonder</w:t>
      </w:r>
      <w:r>
        <w:rPr>
          <w:b w:val="0"/>
          <w:i w:val="0"/>
          <w:smallCaps w:val="0"/>
          <w:strike w:val="0"/>
          <w:sz w:val="20"/>
          <w:highlight w:val="cyan"/>
          <w:u w:val="single"/>
        </w:rPr>
        <w:t xml:space="preserve"> whether we are witnessing the “end of globalization</w:t>
      </w:r>
      <w:r>
        <w:rPr>
          <w:b w:val="0"/>
          <w:i w:val="0"/>
          <w:smallCaps w:val="0"/>
          <w:strike w:val="0"/>
          <w:sz w:val="20"/>
          <w:u w:val="single"/>
        </w:rPr>
        <w:t>.”</w:t>
      </w:r>
    </w:p>
    <w:p>
      <w:pPr>
        <w:spacing w:after="60"/>
      </w:pPr>
      <w:r>
        <w:rPr>
          <w:b w:val="0"/>
          <w:i w:val="0"/>
          <w:smallCaps w:val="0"/>
          <w:strike w:val="0"/>
          <w:sz w:val="16"/>
          <w:u w:val="none"/>
        </w:rPr>
        <w:t xml:space="preserve">Surely, </w:t>
      </w:r>
      <w:r>
        <w:rPr>
          <w:b w:val="0"/>
          <w:i w:val="0"/>
          <w:smallCaps w:val="0"/>
          <w:strike w:val="0"/>
          <w:sz w:val="20"/>
          <w:u w:val="single"/>
        </w:rPr>
        <w:t>the last few years have</w:t>
      </w:r>
      <w:r>
        <w:rPr>
          <w:b w:val="0"/>
          <w:i w:val="0"/>
          <w:smallCaps w:val="0"/>
          <w:strike w:val="0"/>
          <w:sz w:val="16"/>
          <w:u w:val="none"/>
        </w:rPr>
        <w:t xml:space="preserve"> stressed the global economy and </w:t>
      </w:r>
      <w:r>
        <w:rPr>
          <w:b w:val="0"/>
          <w:i w:val="0"/>
          <w:smallCaps w:val="0"/>
          <w:strike w:val="0"/>
          <w:sz w:val="20"/>
          <w:u w:val="single"/>
        </w:rPr>
        <w:t>seen</w:t>
      </w:r>
      <w:r>
        <w:rPr>
          <w:b w:val="0"/>
          <w:i w:val="0"/>
          <w:smallCaps w:val="0"/>
          <w:strike w:val="0"/>
          <w:sz w:val="16"/>
          <w:u w:val="none"/>
        </w:rPr>
        <w:t xml:space="preserve"> certain </w:t>
      </w:r>
      <w:r>
        <w:rPr>
          <w:b w:val="0"/>
          <w:i w:val="0"/>
          <w:smallCaps w:val="0"/>
          <w:strike w:val="0"/>
          <w:sz w:val="20"/>
          <w:u w:val="single"/>
        </w:rPr>
        <w:t xml:space="preserve">policymakers </w:t>
      </w:r>
      <w:r>
        <w:rPr>
          <w:b w:val="0"/>
          <w:i w:val="0"/>
          <w:smallCaps w:val="0"/>
          <w:strike w:val="0"/>
          <w:sz w:val="16"/>
          <w:u w:val="none"/>
        </w:rPr>
        <w:t>more</w:t>
      </w:r>
      <w:r>
        <w:rPr>
          <w:b w:val="0"/>
          <w:i w:val="0"/>
          <w:smallCaps w:val="0"/>
          <w:strike w:val="0"/>
          <w:sz w:val="16"/>
          <w:u w:val="single"/>
        </w:rPr>
        <w:t xml:space="preserve"> </w:t>
      </w:r>
      <w:r>
        <w:rPr>
          <w:b/>
          <w:i w:val="0"/>
          <w:smallCaps w:val="0"/>
          <w:strike w:val="0"/>
          <w:sz w:val="20"/>
          <w:u w:val="single"/>
        </w:rPr>
        <w:t>pessimistic</w:t>
      </w:r>
      <w:r>
        <w:rPr>
          <w:b w:val="0"/>
          <w:i w:val="0"/>
          <w:smallCaps w:val="0"/>
          <w:strike w:val="0"/>
          <w:sz w:val="20"/>
          <w:u w:val="single"/>
        </w:rPr>
        <w:t xml:space="preserve"> about </w:t>
      </w:r>
      <w:r>
        <w:rPr>
          <w:b/>
          <w:i w:val="0"/>
          <w:smallCaps w:val="0"/>
          <w:strike w:val="0"/>
          <w:sz w:val="20"/>
          <w:u w:val="single"/>
        </w:rPr>
        <w:t>foreign trade</w:t>
      </w:r>
      <w:r>
        <w:rPr>
          <w:b w:val="0"/>
          <w:i w:val="0"/>
          <w:smallCaps w:val="0"/>
          <w:strike w:val="0"/>
          <w:sz w:val="20"/>
          <w:u w:val="single"/>
        </w:rPr>
        <w:t xml:space="preserve"> and investment</w:t>
      </w:r>
      <w:r>
        <w:rPr>
          <w:b w:val="0"/>
          <w:i w:val="0"/>
          <w:smallCaps w:val="0"/>
          <w:strike w:val="0"/>
          <w:sz w:val="16"/>
          <w:u w:val="none"/>
        </w:rPr>
        <w:t xml:space="preserve"> than they’ve been in decades past. Nevertheless, the </w:t>
      </w:r>
      <w:r>
        <w:rPr>
          <w:b w:val="0"/>
          <w:i w:val="0"/>
          <w:smallCaps w:val="0"/>
          <w:strike w:val="0"/>
          <w:sz w:val="20"/>
          <w:u w:val="single"/>
        </w:rPr>
        <w:t>evidence thus far shows</w:t>
      </w:r>
      <w:r>
        <w:rPr>
          <w:b w:val="0"/>
          <w:i w:val="0"/>
          <w:smallCaps w:val="0"/>
          <w:strike w:val="0"/>
          <w:sz w:val="16"/>
          <w:u w:val="none"/>
        </w:rPr>
        <w:t xml:space="preserve"> that </w:t>
      </w:r>
      <w:r>
        <w:rPr>
          <w:b w:val="0"/>
          <w:i w:val="0"/>
          <w:smallCaps w:val="0"/>
          <w:strike w:val="0"/>
          <w:sz w:val="20"/>
          <w:u w:val="single"/>
        </w:rPr>
        <w:t xml:space="preserve">globalization is </w:t>
      </w:r>
      <w:r>
        <w:rPr>
          <w:b/>
          <w:i w:val="0"/>
          <w:smallCaps w:val="0"/>
          <w:strike w:val="0"/>
          <w:sz w:val="20"/>
          <w:u w:val="single"/>
        </w:rPr>
        <w:t>not dying</w:t>
      </w:r>
      <w:r>
        <w:rPr>
          <w:b w:val="0"/>
          <w:i w:val="0"/>
          <w:smallCaps w:val="0"/>
          <w:strike w:val="0"/>
          <w:sz w:val="20"/>
          <w:u w:val="single"/>
        </w:rPr>
        <w:t xml:space="preserve"> but</w:t>
      </w:r>
      <w:r>
        <w:rPr>
          <w:b w:val="0"/>
          <w:i w:val="0"/>
          <w:smallCaps w:val="0"/>
          <w:strike w:val="0"/>
          <w:sz w:val="16"/>
          <w:u w:val="none"/>
        </w:rPr>
        <w:t xml:space="preserve"> instead </w:t>
      </w:r>
      <w:r>
        <w:rPr>
          <w:b/>
          <w:i w:val="0"/>
          <w:smallCaps w:val="0"/>
          <w:strike w:val="0"/>
          <w:sz w:val="20"/>
          <w:u w:val="single"/>
        </w:rPr>
        <w:t>evolving</w:t>
      </w:r>
      <w:r>
        <w:rPr>
          <w:b w:val="0"/>
          <w:i w:val="0"/>
          <w:smallCaps w:val="0"/>
          <w:strike w:val="0"/>
          <w:sz w:val="20"/>
          <w:u w:val="single"/>
        </w:rPr>
        <w:t xml:space="preserve"> in response to</w:t>
      </w:r>
      <w:r>
        <w:rPr>
          <w:b w:val="0"/>
          <w:i w:val="0"/>
          <w:smallCaps w:val="0"/>
          <w:strike w:val="0"/>
          <w:sz w:val="16"/>
          <w:u w:val="none"/>
        </w:rPr>
        <w:t xml:space="preserve"> </w:t>
      </w:r>
      <w:r>
        <w:rPr>
          <w:b w:val="0"/>
          <w:i w:val="0"/>
          <w:smallCaps w:val="0"/>
          <w:strike w:val="0"/>
          <w:sz w:val="20"/>
          <w:u w:val="single"/>
        </w:rPr>
        <w:t>various economic</w:t>
      </w:r>
      <w:r>
        <w:rPr>
          <w:b w:val="0"/>
          <w:i w:val="0"/>
          <w:smallCaps w:val="0"/>
          <w:strike w:val="0"/>
          <w:sz w:val="16"/>
          <w:u w:val="none"/>
        </w:rPr>
        <w:t xml:space="preserve"> and geopolitical </w:t>
      </w:r>
      <w:r>
        <w:rPr>
          <w:b w:val="0"/>
          <w:i w:val="0"/>
          <w:smallCaps w:val="0"/>
          <w:strike w:val="0"/>
          <w:sz w:val="20"/>
          <w:u w:val="single"/>
        </w:rPr>
        <w:t>trends</w:t>
      </w:r>
      <w:r>
        <w:rPr>
          <w:b w:val="0"/>
          <w:i w:val="0"/>
          <w:smallCaps w:val="0"/>
          <w:strike w:val="0"/>
          <w:sz w:val="16"/>
          <w:u w:val="none"/>
        </w:rPr>
        <w:t>. In fact, one big problem with the current de‐​globalization chatter is that it misunderstands—sometimes wildly—what globalization actually is, as well as the rules that undergird it. It also ignores—as economist Jeffrey Kleintop has pointed out—the long history of people wrongly predicting globalization’s imminent demise. As this essay documents, today’s skeptics likely will be proven wrong once again.</w:t>
      </w:r>
    </w:p>
    <w:p>
      <w:pPr>
        <w:spacing w:after="60"/>
      </w:pPr>
      <w:r>
        <w:rPr>
          <w:b w:val="0"/>
          <w:i w:val="0"/>
          <w:smallCaps w:val="0"/>
          <w:strike w:val="0"/>
          <w:sz w:val="16"/>
          <w:u w:val="none"/>
        </w:rPr>
        <w:t>What Does Plateauing Global Trade in Goods Really Say about Globalization?</w:t>
      </w:r>
    </w:p>
    <w:p>
      <w:pPr>
        <w:spacing w:after="60"/>
      </w:pPr>
      <w:r>
        <w:rPr>
          <w:b w:val="0"/>
          <w:i w:val="0"/>
          <w:smallCaps w:val="0"/>
          <w:strike w:val="0"/>
          <w:sz w:val="20"/>
          <w:highlight w:val="cyan"/>
          <w:u w:val="single"/>
        </w:rPr>
        <w:t xml:space="preserve">The </w:t>
      </w:r>
      <w:r>
        <w:rPr>
          <w:b/>
          <w:i w:val="0"/>
          <w:smallCaps w:val="0"/>
          <w:strike w:val="0"/>
          <w:sz w:val="20"/>
          <w:highlight w:val="cyan"/>
          <w:u w:val="single"/>
        </w:rPr>
        <w:t>primary data</w:t>
      </w:r>
      <w:r>
        <w:rPr>
          <w:b w:val="0"/>
          <w:i w:val="0"/>
          <w:smallCaps w:val="0"/>
          <w:strike w:val="0"/>
          <w:sz w:val="16"/>
          <w:u w:val="none"/>
        </w:rPr>
        <w:t xml:space="preserve">point </w:t>
      </w:r>
      <w:r>
        <w:rPr>
          <w:b w:val="0"/>
          <w:i w:val="0"/>
          <w:smallCaps w:val="0"/>
          <w:strike w:val="0"/>
          <w:sz w:val="20"/>
          <w:highlight w:val="cyan"/>
          <w:u w:val="single"/>
        </w:rPr>
        <w:t>used</w:t>
      </w:r>
      <w:r>
        <w:rPr>
          <w:b w:val="0"/>
          <w:i w:val="0"/>
          <w:smallCaps w:val="0"/>
          <w:strike w:val="0"/>
          <w:sz w:val="20"/>
          <w:u w:val="single"/>
        </w:rPr>
        <w:t xml:space="preserve"> to announce the “</w:t>
      </w:r>
      <w:r>
        <w:rPr>
          <w:b/>
          <w:i w:val="0"/>
          <w:smallCaps w:val="0"/>
          <w:strike w:val="0"/>
          <w:sz w:val="20"/>
          <w:u w:val="single"/>
        </w:rPr>
        <w:t>death of globalization</w:t>
      </w:r>
      <w:r>
        <w:rPr>
          <w:b w:val="0"/>
          <w:i w:val="0"/>
          <w:smallCaps w:val="0"/>
          <w:strike w:val="0"/>
          <w:sz w:val="20"/>
          <w:u w:val="single"/>
        </w:rPr>
        <w:t xml:space="preserve">” </w:t>
      </w:r>
      <w:r>
        <w:rPr>
          <w:b w:val="0"/>
          <w:i w:val="0"/>
          <w:smallCaps w:val="0"/>
          <w:strike w:val="0"/>
          <w:sz w:val="20"/>
          <w:highlight w:val="cyan"/>
          <w:u w:val="single"/>
        </w:rPr>
        <w:t xml:space="preserve">is the slowing </w:t>
      </w:r>
      <w:r>
        <w:rPr>
          <w:b w:val="0"/>
          <w:i w:val="0"/>
          <w:smallCaps w:val="0"/>
          <w:strike w:val="0"/>
          <w:sz w:val="20"/>
          <w:u w:val="single"/>
        </w:rPr>
        <w:t>share of</w:t>
      </w:r>
      <w:r>
        <w:rPr>
          <w:b w:val="0"/>
          <w:i w:val="0"/>
          <w:smallCaps w:val="0"/>
          <w:strike w:val="0"/>
          <w:sz w:val="16"/>
          <w:u w:val="none"/>
        </w:rPr>
        <w:t xml:space="preserve"> both </w:t>
      </w:r>
      <w:r>
        <w:rPr>
          <w:b w:val="0"/>
          <w:i w:val="0"/>
          <w:smallCaps w:val="0"/>
          <w:strike w:val="0"/>
          <w:sz w:val="20"/>
          <w:u w:val="single"/>
        </w:rPr>
        <w:t>goods trade</w:t>
      </w:r>
      <w:r>
        <w:rPr>
          <w:b w:val="0"/>
          <w:i w:val="0"/>
          <w:smallCaps w:val="0"/>
          <w:strike w:val="0"/>
          <w:sz w:val="20"/>
          <w:u w:val="single"/>
        </w:rPr>
        <w:t xml:space="preserve"> and </w:t>
      </w:r>
      <w:r>
        <w:rPr>
          <w:b w:val="0"/>
          <w:i w:val="0"/>
          <w:smallCaps w:val="0"/>
          <w:strike w:val="0"/>
          <w:sz w:val="20"/>
          <w:highlight w:val="cyan"/>
          <w:u w:val="single"/>
        </w:rPr>
        <w:t>total trade as a percentage of</w:t>
      </w:r>
      <w:r>
        <w:rPr>
          <w:b w:val="0"/>
          <w:i w:val="0"/>
          <w:smallCaps w:val="0"/>
          <w:strike w:val="0"/>
          <w:sz w:val="16"/>
          <w:u w:val="none"/>
        </w:rPr>
        <w:t xml:space="preserve"> global gross domestic product (</w:t>
      </w:r>
      <w:r>
        <w:rPr>
          <w:b w:val="0"/>
          <w:i w:val="0"/>
          <w:smallCaps w:val="0"/>
          <w:strike w:val="0"/>
          <w:sz w:val="20"/>
          <w:highlight w:val="cyan"/>
          <w:u w:val="single"/>
        </w:rPr>
        <w:t>GDP</w:t>
      </w:r>
      <w:r>
        <w:rPr>
          <w:b w:val="0"/>
          <w:i w:val="0"/>
          <w:smallCaps w:val="0"/>
          <w:strike w:val="0"/>
          <w:sz w:val="16"/>
          <w:u w:val="none"/>
        </w:rPr>
        <w:t xml:space="preserve">) since the Great Recession (see Figure 1 and Figure 2), with the former driving the latter because goods trade accounts for a large share of total trade. Given this relationship—as well as recent supply chain snarls and the centrality of goods, tariffs (which apply to goods), and containerized shipping to the typical story of globalization—some focus on trade in goods is understandable. </w:t>
      </w:r>
      <w:r>
        <w:rPr>
          <w:b w:val="0"/>
          <w:i w:val="0"/>
          <w:smallCaps w:val="0"/>
          <w:strike w:val="0"/>
          <w:sz w:val="20"/>
          <w:highlight w:val="cyan"/>
          <w:u w:val="single"/>
        </w:rPr>
        <w:t>Yet plateauing</w:t>
      </w:r>
      <w:r>
        <w:rPr>
          <w:b w:val="0"/>
          <w:i w:val="0"/>
          <w:smallCaps w:val="0"/>
          <w:strike w:val="0"/>
          <w:sz w:val="16"/>
          <w:u w:val="none"/>
        </w:rPr>
        <w:t xml:space="preserve"> international </w:t>
      </w:r>
      <w:r>
        <w:rPr>
          <w:b w:val="0"/>
          <w:i w:val="0"/>
          <w:smallCaps w:val="0"/>
          <w:strike w:val="0"/>
          <w:sz w:val="20"/>
          <w:highlight w:val="cyan"/>
          <w:u w:val="single"/>
        </w:rPr>
        <w:t>trade</w:t>
      </w:r>
      <w:r>
        <w:rPr>
          <w:b w:val="0"/>
          <w:i w:val="0"/>
          <w:smallCaps w:val="0"/>
          <w:strike w:val="0"/>
          <w:sz w:val="20"/>
          <w:u w:val="single"/>
        </w:rPr>
        <w:t xml:space="preserve"> in goods </w:t>
      </w:r>
      <w:r>
        <w:rPr>
          <w:b w:val="0"/>
          <w:i w:val="0"/>
          <w:smallCaps w:val="0"/>
          <w:strike w:val="0"/>
          <w:sz w:val="20"/>
          <w:highlight w:val="cyan"/>
          <w:u w:val="single"/>
        </w:rPr>
        <w:t>is not a</w:t>
      </w:r>
      <w:r>
        <w:rPr>
          <w:b w:val="0"/>
          <w:i w:val="0"/>
          <w:smallCaps w:val="0"/>
          <w:strike w:val="0"/>
          <w:sz w:val="20"/>
          <w:u w:val="single"/>
        </w:rPr>
        <w:t xml:space="preserve"> </w:t>
      </w:r>
      <w:r>
        <w:rPr>
          <w:b/>
          <w:i w:val="0"/>
          <w:smallCaps w:val="0"/>
          <w:strike w:val="0"/>
          <w:sz w:val="20"/>
          <w:u w:val="single"/>
        </w:rPr>
        <w:t xml:space="preserve">very </w:t>
      </w:r>
      <w:r>
        <w:rPr>
          <w:b/>
          <w:i w:val="0"/>
          <w:smallCaps w:val="0"/>
          <w:strike w:val="0"/>
          <w:sz w:val="20"/>
          <w:highlight w:val="cyan"/>
          <w:u w:val="single"/>
        </w:rPr>
        <w:t>useful</w:t>
      </w:r>
      <w:r>
        <w:rPr>
          <w:b w:val="0"/>
          <w:i w:val="0"/>
          <w:smallCaps w:val="0"/>
          <w:strike w:val="0"/>
          <w:sz w:val="20"/>
          <w:highlight w:val="cyan"/>
          <w:u w:val="single"/>
        </w:rPr>
        <w:t xml:space="preserve"> indicator of de‐​globalization</w:t>
      </w:r>
      <w:r>
        <w:rPr>
          <w:b w:val="0"/>
          <w:i w:val="0"/>
          <w:smallCaps w:val="0"/>
          <w:strike w:val="0"/>
          <w:sz w:val="16"/>
          <w:highlight w:val="cyan"/>
          <w:u w:val="none"/>
        </w:rPr>
        <w:t>.</w:t>
      </w:r>
    </w:p>
    <w:p>
      <w:pPr>
        <w:spacing w:after="60"/>
      </w:pPr>
      <w:r>
        <w:rPr>
          <w:b w:val="0"/>
          <w:i w:val="0"/>
          <w:smallCaps w:val="0"/>
          <w:strike w:val="0"/>
          <w:sz w:val="16"/>
          <w:u w:val="none"/>
        </w:rPr>
        <w:t xml:space="preserve">First, </w:t>
      </w:r>
      <w:r>
        <w:rPr>
          <w:b/>
          <w:i w:val="0"/>
          <w:smallCaps w:val="0"/>
          <w:strike w:val="0"/>
          <w:sz w:val="20"/>
          <w:u w:val="single"/>
        </w:rPr>
        <w:t>goods trade</w:t>
      </w:r>
      <w:r>
        <w:rPr>
          <w:b w:val="0"/>
          <w:i w:val="0"/>
          <w:smallCaps w:val="0"/>
          <w:strike w:val="0"/>
          <w:sz w:val="16"/>
          <w:u w:val="none"/>
        </w:rPr>
        <w:t xml:space="preserve"> as a share of global economic output </w:t>
      </w:r>
      <w:r>
        <w:rPr>
          <w:b w:val="0"/>
          <w:i w:val="0"/>
          <w:smallCaps w:val="0"/>
          <w:strike w:val="0"/>
          <w:sz w:val="20"/>
          <w:u w:val="single"/>
        </w:rPr>
        <w:t xml:space="preserve">may have </w:t>
      </w:r>
      <w:r>
        <w:rPr>
          <w:b/>
          <w:i w:val="0"/>
          <w:smallCaps w:val="0"/>
          <w:strike w:val="0"/>
          <w:sz w:val="20"/>
          <w:u w:val="single"/>
        </w:rPr>
        <w:t>peaked</w:t>
      </w:r>
      <w:r>
        <w:rPr>
          <w:b w:val="0"/>
          <w:i w:val="0"/>
          <w:smallCaps w:val="0"/>
          <w:strike w:val="0"/>
          <w:sz w:val="20"/>
          <w:u w:val="single"/>
        </w:rPr>
        <w:t xml:space="preserve"> in 2008 </w:t>
      </w:r>
      <w:r>
        <w:rPr>
          <w:b w:val="0"/>
          <w:i w:val="0"/>
          <w:smallCaps w:val="0"/>
          <w:strike w:val="0"/>
          <w:sz w:val="16"/>
          <w:u w:val="none"/>
        </w:rPr>
        <w:t xml:space="preserve">at 51.1 percent </w:t>
      </w:r>
      <w:r>
        <w:rPr>
          <w:b w:val="0"/>
          <w:i w:val="0"/>
          <w:smallCaps w:val="0"/>
          <w:strike w:val="0"/>
          <w:sz w:val="20"/>
          <w:u w:val="single"/>
        </w:rPr>
        <w:t xml:space="preserve">but </w:t>
      </w:r>
      <w:r>
        <w:rPr>
          <w:b/>
          <w:i w:val="0"/>
          <w:smallCaps w:val="0"/>
          <w:strike w:val="0"/>
          <w:sz w:val="20"/>
          <w:u w:val="single"/>
        </w:rPr>
        <w:t>remained</w:t>
      </w:r>
      <w:r>
        <w:rPr>
          <w:b w:val="0"/>
          <w:i w:val="0"/>
          <w:smallCaps w:val="0"/>
          <w:strike w:val="0"/>
          <w:sz w:val="20"/>
          <w:u w:val="single"/>
        </w:rPr>
        <w:t xml:space="preserve"> historically high</w:t>
      </w:r>
      <w:r>
        <w:rPr>
          <w:b w:val="0"/>
          <w:i w:val="0"/>
          <w:smallCaps w:val="0"/>
          <w:strike w:val="0"/>
          <w:sz w:val="16"/>
          <w:u w:val="none"/>
        </w:rPr>
        <w:t xml:space="preserve"> in 2021 at 46.8 percent—well above levels seen during the “hyperglobalization” heyday of the 1990s and higher than it was in 2016 through 2020. Economist Richard Baldwin adds that </w:t>
      </w:r>
      <w:r>
        <w:rPr>
          <w:b w:val="0"/>
          <w:i w:val="0"/>
          <w:smallCaps w:val="0"/>
          <w:strike w:val="0"/>
          <w:sz w:val="20"/>
          <w:highlight w:val="cyan"/>
          <w:u w:val="single"/>
        </w:rPr>
        <w:t>most of the decline</w:t>
      </w:r>
      <w:r>
        <w:rPr>
          <w:b w:val="0"/>
          <w:i w:val="0"/>
          <w:smallCaps w:val="0"/>
          <w:strike w:val="0"/>
          <w:sz w:val="20"/>
          <w:u w:val="single"/>
        </w:rPr>
        <w:t xml:space="preserve"> in goods trade </w:t>
      </w:r>
      <w:r>
        <w:rPr>
          <w:b w:val="0"/>
          <w:i w:val="0"/>
          <w:smallCaps w:val="0"/>
          <w:strike w:val="0"/>
          <w:sz w:val="20"/>
          <w:highlight w:val="cyan"/>
          <w:u w:val="single"/>
        </w:rPr>
        <w:t>since</w:t>
      </w:r>
      <w:r>
        <w:rPr>
          <w:b w:val="0"/>
          <w:i w:val="0"/>
          <w:smallCaps w:val="0"/>
          <w:strike w:val="0"/>
          <w:sz w:val="20"/>
          <w:u w:val="single"/>
        </w:rPr>
        <w:t xml:space="preserve"> </w:t>
      </w:r>
      <w:r>
        <w:rPr>
          <w:b w:val="0"/>
          <w:i w:val="0"/>
          <w:smallCaps w:val="0"/>
          <w:strike w:val="0"/>
          <w:sz w:val="20"/>
          <w:highlight w:val="cyan"/>
          <w:u w:val="single"/>
        </w:rPr>
        <w:t>2008 was due to</w:t>
      </w:r>
      <w:r>
        <w:rPr>
          <w:b w:val="0"/>
          <w:i w:val="0"/>
          <w:smallCaps w:val="0"/>
          <w:strike w:val="0"/>
          <w:sz w:val="16"/>
          <w:u w:val="none"/>
        </w:rPr>
        <w:t xml:space="preserve"> two factors: (1) </w:t>
      </w:r>
      <w:r>
        <w:rPr>
          <w:b w:val="0"/>
          <w:i w:val="0"/>
          <w:smallCaps w:val="0"/>
          <w:strike w:val="0"/>
          <w:sz w:val="20"/>
          <w:highlight w:val="cyan"/>
          <w:u w:val="single"/>
        </w:rPr>
        <w:t>China returning to</w:t>
      </w:r>
      <w:r>
        <w:rPr>
          <w:b w:val="0"/>
          <w:i w:val="0"/>
          <w:smallCaps w:val="0"/>
          <w:strike w:val="0"/>
          <w:sz w:val="16"/>
          <w:u w:val="none"/>
        </w:rPr>
        <w:t xml:space="preserve"> a </w:t>
      </w:r>
      <w:r>
        <w:rPr>
          <w:b w:val="0"/>
          <w:i w:val="0"/>
          <w:smallCaps w:val="0"/>
          <w:strike w:val="0"/>
          <w:sz w:val="20"/>
          <w:highlight w:val="cyan"/>
          <w:u w:val="single"/>
        </w:rPr>
        <w:t>normal</w:t>
      </w:r>
      <w:r>
        <w:rPr>
          <w:b w:val="0"/>
          <w:i w:val="0"/>
          <w:smallCaps w:val="0"/>
          <w:strike w:val="0"/>
          <w:sz w:val="16"/>
          <w:u w:val="none"/>
        </w:rPr>
        <w:t xml:space="preserve"> level of </w:t>
      </w:r>
      <w:r>
        <w:rPr>
          <w:b w:val="0"/>
          <w:i w:val="0"/>
          <w:smallCaps w:val="0"/>
          <w:strike w:val="0"/>
          <w:sz w:val="20"/>
          <w:highlight w:val="cyan"/>
          <w:u w:val="single"/>
        </w:rPr>
        <w:t>trade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u w:val="none"/>
        </w:rPr>
        <w:t xml:space="preserve"> (2) </w:t>
      </w:r>
      <w:r>
        <w:rPr>
          <w:b w:val="0"/>
          <w:i w:val="0"/>
          <w:smallCaps w:val="0"/>
          <w:strike w:val="0"/>
          <w:sz w:val="20"/>
          <w:highlight w:val="cyan"/>
          <w:u w:val="single"/>
        </w:rPr>
        <w:t>a collapse in mining and fuels prices</w:t>
      </w:r>
      <w:r>
        <w:rPr>
          <w:b w:val="0"/>
          <w:i w:val="0"/>
          <w:smallCaps w:val="0"/>
          <w:strike w:val="0"/>
          <w:sz w:val="16"/>
          <w:highlight w:val="cyan"/>
          <w:u w:val="none"/>
        </w:rPr>
        <w:t xml:space="preserve">. </w:t>
      </w:r>
      <w:r>
        <w:rPr>
          <w:b w:val="0"/>
          <w:i w:val="0"/>
          <w:smallCaps w:val="0"/>
          <w:strike w:val="0"/>
          <w:sz w:val="20"/>
          <w:highlight w:val="cyan"/>
          <w:u w:val="single"/>
        </w:rPr>
        <w:t>Other economies</w:t>
      </w:r>
      <w:r>
        <w:rPr>
          <w:b w:val="0"/>
          <w:i w:val="0"/>
          <w:smallCaps w:val="0"/>
          <w:strike w:val="0"/>
          <w:sz w:val="20"/>
          <w:u w:val="single"/>
        </w:rPr>
        <w:t xml:space="preserve">, as well as </w:t>
      </w:r>
      <w:r>
        <w:rPr>
          <w:b/>
          <w:i w:val="0"/>
          <w:smallCaps w:val="0"/>
          <w:strike w:val="0"/>
          <w:sz w:val="20"/>
          <w:u w:val="single"/>
        </w:rPr>
        <w:t>trade in manufactures</w:t>
      </w:r>
      <w:r>
        <w:rPr>
          <w:b w:val="0"/>
          <w:i w:val="0"/>
          <w:smallCaps w:val="0"/>
          <w:strike w:val="0"/>
          <w:sz w:val="16"/>
          <w:u w:val="none"/>
        </w:rPr>
        <w:t xml:space="preserve"> and agricultural goods, </w:t>
      </w:r>
      <w:r>
        <w:rPr>
          <w:b w:val="0"/>
          <w:i w:val="0"/>
          <w:smallCaps w:val="0"/>
          <w:strike w:val="0"/>
          <w:sz w:val="20"/>
          <w:highlight w:val="cyan"/>
          <w:u w:val="single"/>
        </w:rPr>
        <w:t>experienced no</w:t>
      </w:r>
      <w:r>
        <w:rPr>
          <w:b w:val="0"/>
          <w:i w:val="0"/>
          <w:smallCaps w:val="0"/>
          <w:strike w:val="0"/>
          <w:sz w:val="16"/>
          <w:u w:val="none"/>
        </w:rPr>
        <w:t xml:space="preserve"> such </w:t>
      </w:r>
      <w:r>
        <w:rPr>
          <w:b w:val="0"/>
          <w:i w:val="0"/>
          <w:smallCaps w:val="0"/>
          <w:strike w:val="0"/>
          <w:sz w:val="20"/>
          <w:highlight w:val="cyan"/>
          <w:u w:val="single"/>
        </w:rPr>
        <w:t>collapses</w:t>
      </w:r>
      <w:r>
        <w:rPr>
          <w:b w:val="0"/>
          <w:i w:val="0"/>
          <w:smallCaps w:val="0"/>
          <w:strike w:val="0"/>
          <w:sz w:val="16"/>
          <w:u w:val="none"/>
        </w:rPr>
        <w:t xml:space="preserve">. Thus, </w:t>
      </w:r>
      <w:r>
        <w:rPr>
          <w:b w:val="0"/>
          <w:i w:val="0"/>
          <w:smallCaps w:val="0"/>
          <w:strike w:val="0"/>
          <w:sz w:val="20"/>
          <w:highlight w:val="cyan"/>
          <w:u w:val="single"/>
        </w:rPr>
        <w:t xml:space="preserve">these data </w:t>
      </w:r>
      <w:r>
        <w:rPr>
          <w:b/>
          <w:i w:val="0"/>
          <w:smallCaps w:val="0"/>
          <w:strike w:val="0"/>
          <w:sz w:val="20"/>
          <w:highlight w:val="cyan"/>
          <w:u w:val="single"/>
        </w:rPr>
        <w:t>at most</w:t>
      </w:r>
      <w:r>
        <w:rPr>
          <w:b w:val="0"/>
          <w:i w:val="0"/>
          <w:smallCaps w:val="0"/>
          <w:strike w:val="0"/>
          <w:sz w:val="20"/>
          <w:highlight w:val="cyan"/>
          <w:u w:val="single"/>
        </w:rPr>
        <w:t xml:space="preserve"> reveal </w:t>
      </w:r>
      <w:r>
        <w:rPr>
          <w:b w:val="0"/>
          <w:i w:val="0"/>
          <w:smallCaps w:val="0"/>
          <w:strike w:val="0"/>
          <w:sz w:val="20"/>
          <w:u w:val="single"/>
        </w:rPr>
        <w:t xml:space="preserve">a period of </w:t>
      </w:r>
      <w:r>
        <w:rPr>
          <w:b/>
          <w:i w:val="0"/>
          <w:smallCaps w:val="0"/>
          <w:strike w:val="0"/>
          <w:sz w:val="20"/>
          <w:highlight w:val="cyan"/>
          <w:u w:val="single"/>
        </w:rPr>
        <w:t>stagnation</w:t>
      </w:r>
      <w:r>
        <w:rPr>
          <w:b w:val="0"/>
          <w:i w:val="0"/>
          <w:smallCaps w:val="0"/>
          <w:strike w:val="0"/>
          <w:sz w:val="16"/>
          <w:u w:val="none"/>
        </w:rPr>
        <w:t xml:space="preserve"> (or “slowbalisation”) </w:t>
      </w:r>
      <w:r>
        <w:rPr>
          <w:b w:val="0"/>
          <w:i w:val="0"/>
          <w:smallCaps w:val="0"/>
          <w:strike w:val="0"/>
          <w:sz w:val="20"/>
          <w:highlight w:val="cyan"/>
          <w:u w:val="single"/>
        </w:rPr>
        <w:t>instead of</w:t>
      </w:r>
      <w:r>
        <w:rPr>
          <w:b w:val="0"/>
          <w:i w:val="0"/>
          <w:smallCaps w:val="0"/>
          <w:strike w:val="0"/>
          <w:sz w:val="16"/>
          <w:u w:val="none"/>
        </w:rPr>
        <w:t xml:space="preserve"> a </w:t>
      </w:r>
      <w:r>
        <w:rPr>
          <w:b/>
          <w:i w:val="0"/>
          <w:smallCaps w:val="0"/>
          <w:strike w:val="0"/>
          <w:sz w:val="20"/>
          <w:u w:val="single"/>
        </w:rPr>
        <w:t>serious</w:t>
      </w:r>
      <w:r>
        <w:rPr>
          <w:b w:val="0"/>
          <w:i w:val="0"/>
          <w:smallCaps w:val="0"/>
          <w:strike w:val="0"/>
          <w:sz w:val="20"/>
          <w:u w:val="single"/>
        </w:rPr>
        <w:t xml:space="preserve"> </w:t>
      </w:r>
      <w:r>
        <w:rPr>
          <w:b w:val="0"/>
          <w:i w:val="0"/>
          <w:smallCaps w:val="0"/>
          <w:strike w:val="0"/>
          <w:sz w:val="20"/>
          <w:highlight w:val="cyan"/>
          <w:u w:val="single"/>
        </w:rPr>
        <w:t>de‐​globalization</w:t>
      </w:r>
      <w:r>
        <w:rPr>
          <w:b w:val="0"/>
          <w:i w:val="0"/>
          <w:smallCaps w:val="0"/>
          <w:strike w:val="0"/>
          <w:sz w:val="16"/>
          <w:u w:val="none"/>
        </w:rPr>
        <w:t xml:space="preserve"> retreat.</w:t>
      </w:r>
    </w:p>
    <w:p>
      <w:pPr>
        <w:spacing w:after="60"/>
      </w:pPr>
      <w:r>
        <w:rPr>
          <w:b w:val="0"/>
          <w:i w:val="0"/>
          <w:smallCaps w:val="0"/>
          <w:strike w:val="0"/>
          <w:sz w:val="16"/>
          <w:u w:val="none"/>
        </w:rPr>
        <w:t xml:space="preserve">Second, </w:t>
      </w:r>
      <w:r>
        <w:rPr>
          <w:b w:val="0"/>
          <w:i w:val="0"/>
          <w:smallCaps w:val="0"/>
          <w:strike w:val="0"/>
          <w:sz w:val="20"/>
          <w:u w:val="single"/>
        </w:rPr>
        <w:t xml:space="preserve">there is </w:t>
      </w:r>
      <w:r>
        <w:rPr>
          <w:b/>
          <w:i w:val="0"/>
          <w:smallCaps w:val="0"/>
          <w:strike w:val="0"/>
          <w:sz w:val="20"/>
          <w:u w:val="single"/>
        </w:rPr>
        <w:t>little reason</w:t>
      </w:r>
      <w:r>
        <w:rPr>
          <w:b w:val="0"/>
          <w:i w:val="0"/>
          <w:smallCaps w:val="0"/>
          <w:strike w:val="0"/>
          <w:sz w:val="20"/>
          <w:u w:val="single"/>
        </w:rPr>
        <w:t xml:space="preserve"> to think that goods trade should have continued</w:t>
      </w:r>
      <w:r>
        <w:rPr>
          <w:b w:val="0"/>
          <w:i w:val="0"/>
          <w:smallCaps w:val="0"/>
          <w:strike w:val="0"/>
          <w:sz w:val="16"/>
          <w:u w:val="none"/>
        </w:rPr>
        <w:t xml:space="preserve"> previous decades’ upward trend; instead, </w:t>
      </w:r>
      <w:r>
        <w:rPr>
          <w:b w:val="0"/>
          <w:i w:val="0"/>
          <w:smallCaps w:val="0"/>
          <w:strike w:val="0"/>
          <w:sz w:val="20"/>
          <w:u w:val="single"/>
        </w:rPr>
        <w:t xml:space="preserve">several factors make </w:t>
      </w:r>
      <w:r>
        <w:rPr>
          <w:b/>
          <w:i w:val="0"/>
          <w:smallCaps w:val="0"/>
          <w:strike w:val="0"/>
          <w:sz w:val="20"/>
          <w:u w:val="single"/>
        </w:rPr>
        <w:t>eventual moderation</w:t>
      </w:r>
      <w:r>
        <w:rPr>
          <w:b w:val="0"/>
          <w:i w:val="0"/>
          <w:smallCaps w:val="0"/>
          <w:strike w:val="0"/>
          <w:sz w:val="20"/>
          <w:u w:val="single"/>
        </w:rPr>
        <w:t xml:space="preserve"> inevitable</w:t>
      </w:r>
      <w:r>
        <w:rPr>
          <w:b w:val="0"/>
          <w:i w:val="0"/>
          <w:smallCaps w:val="0"/>
          <w:strike w:val="0"/>
          <w:sz w:val="16"/>
          <w:u w:val="none"/>
        </w:rPr>
        <w:t xml:space="preserve">. For example, </w:t>
      </w:r>
      <w:r>
        <w:rPr>
          <w:b w:val="0"/>
          <w:i w:val="0"/>
          <w:smallCaps w:val="0"/>
          <w:strike w:val="0"/>
          <w:sz w:val="20"/>
          <w:u w:val="single"/>
        </w:rPr>
        <w:t>practical constraints</w:t>
      </w:r>
      <w:r>
        <w:rPr>
          <w:b w:val="0"/>
          <w:i w:val="0"/>
          <w:smallCaps w:val="0"/>
          <w:strike w:val="0"/>
          <w:sz w:val="16"/>
          <w:u w:val="none"/>
        </w:rPr>
        <w:t xml:space="preserve"> on shipping (e.g., on cost savings, capacity and speed, or specific product traits), </w:t>
      </w:r>
      <w:r>
        <w:rPr>
          <w:b w:val="0"/>
          <w:i w:val="0"/>
          <w:smallCaps w:val="0"/>
          <w:strike w:val="0"/>
          <w:sz w:val="20"/>
          <w:u w:val="single"/>
        </w:rPr>
        <w:t>evolving consumer tastes</w:t>
      </w:r>
      <w:r>
        <w:rPr>
          <w:b w:val="0"/>
          <w:i w:val="0"/>
          <w:smallCaps w:val="0"/>
          <w:strike w:val="0"/>
          <w:sz w:val="16"/>
          <w:u w:val="none"/>
        </w:rPr>
        <w:t xml:space="preserve"> (e.g., for vine‐​ripe produce or quick access to customized items), </w:t>
      </w:r>
      <w:r>
        <w:rPr>
          <w:b w:val="0"/>
          <w:i w:val="0"/>
          <w:smallCaps w:val="0"/>
          <w:strike w:val="0"/>
          <w:sz w:val="20"/>
          <w:u w:val="single"/>
        </w:rPr>
        <w:t>and new</w:t>
      </w:r>
      <w:r>
        <w:rPr>
          <w:b w:val="0"/>
          <w:i w:val="0"/>
          <w:smallCaps w:val="0"/>
          <w:strike w:val="0"/>
          <w:sz w:val="16"/>
          <w:u w:val="none"/>
        </w:rPr>
        <w:t xml:space="preserve"> technological </w:t>
      </w:r>
      <w:r>
        <w:rPr>
          <w:b w:val="0"/>
          <w:i w:val="0"/>
          <w:smallCaps w:val="0"/>
          <w:strike w:val="0"/>
          <w:sz w:val="20"/>
          <w:u w:val="single"/>
        </w:rPr>
        <w:t>developments</w:t>
      </w:r>
      <w:r>
        <w:rPr>
          <w:b w:val="0"/>
          <w:i w:val="0"/>
          <w:smallCaps w:val="0"/>
          <w:strike w:val="0"/>
          <w:sz w:val="16"/>
          <w:u w:val="none"/>
        </w:rPr>
        <w:t xml:space="preserve"> (e.g., industrial robots that make high‐​wage countries more competitive) </w:t>
      </w:r>
      <w:r>
        <w:rPr>
          <w:b/>
          <w:i w:val="0"/>
          <w:smallCaps w:val="0"/>
          <w:strike w:val="0"/>
          <w:sz w:val="20"/>
          <w:u w:val="single"/>
        </w:rPr>
        <w:t>naturally push</w:t>
      </w:r>
      <w:r>
        <w:rPr>
          <w:b w:val="0"/>
          <w:i w:val="0"/>
          <w:smallCaps w:val="0"/>
          <w:strike w:val="0"/>
          <w:sz w:val="20"/>
          <w:u w:val="single"/>
        </w:rPr>
        <w:t xml:space="preserve"> against the globalization of certain manufacturing supply chains</w:t>
      </w:r>
      <w:r>
        <w:rPr>
          <w:b w:val="0"/>
          <w:i w:val="0"/>
          <w:smallCaps w:val="0"/>
          <w:strike w:val="0"/>
          <w:sz w:val="16"/>
          <w:u w:val="none"/>
        </w:rPr>
        <w:t xml:space="preserve"> and make local or nearby production more financially attractive.</w:t>
      </w:r>
    </w:p>
    <w:p>
      <w:pPr>
        <w:spacing w:after="60"/>
      </w:pPr>
      <w:r>
        <w:rPr>
          <w:b w:val="0"/>
          <w:i w:val="0"/>
          <w:smallCaps w:val="0"/>
          <w:strike w:val="0"/>
          <w:sz w:val="16"/>
          <w:u w:val="none"/>
        </w:rPr>
        <w:t xml:space="preserve">Furthermore, some of this moderation reflects the fact that, as I explained in a 2020 Cato Institute paper, </w:t>
      </w:r>
      <w:r>
        <w:rPr>
          <w:b w:val="0"/>
          <w:i w:val="0"/>
          <w:smallCaps w:val="0"/>
          <w:strike w:val="0"/>
          <w:sz w:val="20"/>
          <w:u w:val="single"/>
        </w:rPr>
        <w:t>countries increasingly produce and consume services</w:t>
      </w:r>
      <w:r>
        <w:rPr>
          <w:b w:val="0"/>
          <w:i w:val="0"/>
          <w:smallCaps w:val="0"/>
          <w:strike w:val="0"/>
          <w:sz w:val="16"/>
          <w:u w:val="none"/>
        </w:rPr>
        <w:t xml:space="preserve"> (and move away from goods) </w:t>
      </w:r>
      <w:r>
        <w:rPr>
          <w:b w:val="0"/>
          <w:i w:val="0"/>
          <w:smallCaps w:val="0"/>
          <w:strike w:val="0"/>
          <w:sz w:val="20"/>
          <w:u w:val="single"/>
        </w:rPr>
        <w:t>as they develop</w:t>
      </w:r>
      <w:r>
        <w:rPr>
          <w:b w:val="0"/>
          <w:i w:val="0"/>
          <w:smallCaps w:val="0"/>
          <w:strike w:val="0"/>
          <w:sz w:val="16"/>
          <w:u w:val="none"/>
        </w:rPr>
        <w:t>. Thus, as world manufacturing output and agriculture output decline as a share of global economic output over time (because nations are developing and thus shifting a greater share of their economic activity to services), it makes sense that goods trade as a share of that same global economic output stops increasing at the breakneck pace it exhibited in earlier periods—even as goods trade continued to increase in nominal, inflation‐​adjusted terms. Since many services—such as construction, maintenance and repair, or hospitality—are nontradable and many others face domestic regulatory barriers (e.g., occupational licensing), it would be difficult for services trade to offset a trade‐​in‐​goods moderation, at least in the near term.</w:t>
      </w:r>
    </w:p>
    <w:p>
      <w:pPr>
        <w:spacing w:after="60"/>
      </w:pPr>
      <w:r>
        <w:rPr>
          <w:b w:val="0"/>
          <w:i w:val="0"/>
          <w:smallCaps w:val="0"/>
          <w:strike w:val="0"/>
          <w:sz w:val="16"/>
          <w:u w:val="none"/>
        </w:rPr>
        <w:t xml:space="preserve">Finally, </w:t>
      </w:r>
      <w:r>
        <w:rPr>
          <w:b w:val="0"/>
          <w:i w:val="0"/>
          <w:smallCaps w:val="0"/>
          <w:strike w:val="0"/>
          <w:sz w:val="20"/>
          <w:u w:val="single"/>
        </w:rPr>
        <w:t xml:space="preserve">there is </w:t>
      </w:r>
      <w:r>
        <w:rPr>
          <w:b/>
          <w:i w:val="0"/>
          <w:smallCaps w:val="0"/>
          <w:strike w:val="0"/>
          <w:sz w:val="20"/>
          <w:u w:val="single"/>
        </w:rPr>
        <w:t>ample evidence</w:t>
      </w:r>
      <w:r>
        <w:rPr>
          <w:b w:val="0"/>
          <w:i w:val="0"/>
          <w:smallCaps w:val="0"/>
          <w:strike w:val="0"/>
          <w:sz w:val="20"/>
          <w:u w:val="single"/>
        </w:rPr>
        <w:t xml:space="preserve"> that global goods trade </w:t>
      </w:r>
      <w:r>
        <w:rPr>
          <w:b/>
          <w:i w:val="0"/>
          <w:smallCaps w:val="0"/>
          <w:strike w:val="0"/>
          <w:sz w:val="20"/>
          <w:u w:val="single"/>
        </w:rPr>
        <w:t>remains</w:t>
      </w:r>
      <w:r>
        <w:rPr>
          <w:b w:val="0"/>
          <w:i w:val="0"/>
          <w:smallCaps w:val="0"/>
          <w:strike w:val="0"/>
          <w:sz w:val="16"/>
          <w:u w:val="none"/>
        </w:rPr>
        <w:t xml:space="preserve"> quite </w:t>
      </w:r>
      <w:r>
        <w:rPr>
          <w:b/>
          <w:i w:val="0"/>
          <w:smallCaps w:val="0"/>
          <w:strike w:val="0"/>
          <w:sz w:val="20"/>
          <w:u w:val="single"/>
        </w:rPr>
        <w:t>healthy</w:t>
      </w:r>
      <w:r>
        <w:rPr>
          <w:b w:val="0"/>
          <w:i w:val="0"/>
          <w:smallCaps w:val="0"/>
          <w:strike w:val="0"/>
          <w:sz w:val="20"/>
          <w:u w:val="single"/>
        </w:rPr>
        <w:t>, if not expanding, in many areas</w:t>
      </w:r>
      <w:r>
        <w:rPr>
          <w:b w:val="0"/>
          <w:i w:val="0"/>
          <w:smallCaps w:val="0"/>
          <w:strike w:val="0"/>
          <w:sz w:val="16"/>
          <w:u w:val="none"/>
        </w:rPr>
        <w:t xml:space="preserve">. In the supposedly retrenching United States, for example, </w:t>
      </w:r>
      <w:r>
        <w:rPr>
          <w:b w:val="0"/>
          <w:i w:val="0"/>
          <w:smallCaps w:val="0"/>
          <w:strike w:val="0"/>
          <w:sz w:val="20"/>
          <w:highlight w:val="cyan"/>
          <w:u w:val="single"/>
        </w:rPr>
        <w:t>inflation‐​adjusted</w:t>
      </w:r>
      <w:r>
        <w:rPr>
          <w:b w:val="0"/>
          <w:i w:val="0"/>
          <w:smallCaps w:val="0"/>
          <w:strike w:val="0"/>
          <w:sz w:val="16"/>
          <w:u w:val="none"/>
        </w:rPr>
        <w:t xml:space="preserve"> merchandise </w:t>
      </w:r>
      <w:r>
        <w:rPr>
          <w:b w:val="0"/>
          <w:i w:val="0"/>
          <w:smallCaps w:val="0"/>
          <w:strike w:val="0"/>
          <w:sz w:val="20"/>
          <w:highlight w:val="cyan"/>
          <w:u w:val="single"/>
        </w:rPr>
        <w:t>trade</w:t>
      </w:r>
      <w:r>
        <w:rPr>
          <w:b w:val="0"/>
          <w:i w:val="0"/>
          <w:smallCaps w:val="0"/>
          <w:strike w:val="0"/>
          <w:sz w:val="16"/>
          <w:u w:val="none"/>
        </w:rPr>
        <w:t xml:space="preserve"> (</w:t>
      </w:r>
      <w:r>
        <w:rPr>
          <w:b w:val="0"/>
          <w:i w:val="0"/>
          <w:smallCaps w:val="0"/>
          <w:strike w:val="0"/>
          <w:sz w:val="16"/>
          <w:u w:val="none"/>
        </w:rPr>
        <w:t>imports</w:t>
      </w:r>
      <w:r>
        <w:rPr>
          <w:b w:val="0"/>
          <w:i w:val="0"/>
          <w:smallCaps w:val="0"/>
          <w:strike w:val="0"/>
          <w:sz w:val="16"/>
          <w:u w:val="none"/>
        </w:rPr>
        <w:t xml:space="preserve"> plus exports) </w:t>
      </w:r>
      <w:r>
        <w:rPr>
          <w:b w:val="0"/>
          <w:i w:val="0"/>
          <w:smallCaps w:val="0"/>
          <w:strike w:val="0"/>
          <w:sz w:val="20"/>
          <w:highlight w:val="cyan"/>
          <w:u w:val="single"/>
        </w:rPr>
        <w:t xml:space="preserve">reached </w:t>
      </w:r>
      <w:r>
        <w:rPr>
          <w:b/>
          <w:i w:val="0"/>
          <w:smallCaps w:val="0"/>
          <w:strike w:val="0"/>
          <w:sz w:val="20"/>
          <w:highlight w:val="cyan"/>
          <w:u w:val="single"/>
        </w:rPr>
        <w:t>record levels</w:t>
      </w:r>
      <w:r>
        <w:rPr>
          <w:b w:val="0"/>
          <w:i w:val="0"/>
          <w:smallCaps w:val="0"/>
          <w:strike w:val="0"/>
          <w:sz w:val="20"/>
          <w:highlight w:val="cyan"/>
          <w:u w:val="single"/>
        </w:rPr>
        <w:t xml:space="preserve"> in 2022</w:t>
      </w:r>
      <w:r>
        <w:rPr>
          <w:b w:val="0"/>
          <w:i w:val="0"/>
          <w:smallCaps w:val="0"/>
          <w:strike w:val="0"/>
          <w:sz w:val="16"/>
          <w:u w:val="none"/>
        </w:rPr>
        <w:t>, with less than 12 percent of that total coming from petroleum products (see Figure 3).</w:t>
      </w:r>
    </w:p>
    <w:p>
      <w:pPr>
        <w:spacing w:after="60"/>
      </w:pPr>
      <w:r>
        <w:rPr>
          <w:b w:val="0"/>
          <w:i w:val="0"/>
          <w:smallCaps w:val="0"/>
          <w:strike w:val="0"/>
          <w:sz w:val="16"/>
          <w:u w:val="none"/>
        </w:rPr>
        <w:t>According to the United Nations, moreover, 2022 global merchandise trade hit a record high in terms of both nominal value ($25 trillion) and volume. The DHL Global Connectedness Index 2022 report from the global logistics giant found much the same:</w:t>
      </w:r>
    </w:p>
    <w:p>
      <w:pPr>
        <w:spacing w:after="60"/>
      </w:pPr>
      <w:r>
        <w:rPr>
          <w:b w:val="0"/>
          <w:i w:val="0"/>
          <w:smallCaps w:val="0"/>
          <w:strike w:val="0"/>
          <w:sz w:val="20"/>
          <w:u w:val="single"/>
        </w:rPr>
        <w:t xml:space="preserve">Trade in goods plummeted at the beginning of the pandemic, but after </w:t>
      </w:r>
      <w:r>
        <w:rPr>
          <w:b/>
          <w:i w:val="0"/>
          <w:smallCaps w:val="0"/>
          <w:strike w:val="0"/>
          <w:sz w:val="20"/>
          <w:u w:val="single"/>
        </w:rPr>
        <w:t>just three months</w:t>
      </w:r>
      <w:r>
        <w:rPr>
          <w:b w:val="0"/>
          <w:i w:val="0"/>
          <w:smallCaps w:val="0"/>
          <w:strike w:val="0"/>
          <w:sz w:val="16"/>
          <w:u w:val="none"/>
        </w:rPr>
        <w:t xml:space="preserve"> of declines, </w:t>
      </w:r>
      <w:r>
        <w:rPr>
          <w:b w:val="0"/>
          <w:i w:val="0"/>
          <w:smallCaps w:val="0"/>
          <w:strike w:val="0"/>
          <w:sz w:val="20"/>
          <w:u w:val="single"/>
        </w:rPr>
        <w:t xml:space="preserve">trade volumes </w:t>
      </w:r>
      <w:r>
        <w:rPr>
          <w:b/>
          <w:i w:val="0"/>
          <w:smallCaps w:val="0"/>
          <w:strike w:val="0"/>
          <w:sz w:val="20"/>
          <w:u w:val="single"/>
        </w:rPr>
        <w:t>swiftly recovered</w:t>
      </w:r>
      <w:r>
        <w:rPr>
          <w:b w:val="0"/>
          <w:i w:val="0"/>
          <w:smallCaps w:val="0"/>
          <w:strike w:val="0"/>
          <w:sz w:val="20"/>
          <w:u w:val="single"/>
        </w:rPr>
        <w:t xml:space="preserve"> to above pre‐​pandemic levels</w:t>
      </w:r>
      <w:r>
        <w:rPr>
          <w:b w:val="0"/>
          <w:i w:val="0"/>
          <w:smallCaps w:val="0"/>
          <w:strike w:val="0"/>
          <w:sz w:val="16"/>
          <w:u w:val="none"/>
        </w:rPr>
        <w:t xml:space="preserve"> and continued growing through the early stages of the war in Ukraine. As of mid‐​2022, the volume of world trade in goods was 10% higher than it was at the end of 2019.</w:t>
      </w:r>
    </w:p>
    <w:p>
      <w:pPr>
        <w:spacing w:after="60"/>
      </w:pPr>
      <w:r>
        <w:rPr>
          <w:b w:val="0"/>
          <w:i w:val="0"/>
          <w:smallCaps w:val="0"/>
          <w:strike w:val="0"/>
          <w:sz w:val="16"/>
          <w:u w:val="none"/>
        </w:rPr>
        <w:t xml:space="preserve">Finally, </w:t>
      </w:r>
      <w:r>
        <w:rPr>
          <w:b w:val="0"/>
          <w:i w:val="0"/>
          <w:smallCaps w:val="0"/>
          <w:strike w:val="0"/>
          <w:sz w:val="20"/>
          <w:highlight w:val="cyan"/>
          <w:u w:val="single"/>
        </w:rPr>
        <w:t>the latest data from the</w:t>
      </w:r>
      <w:r>
        <w:rPr>
          <w:b w:val="0"/>
          <w:i w:val="0"/>
          <w:smallCaps w:val="0"/>
          <w:strike w:val="0"/>
          <w:sz w:val="16"/>
          <w:u w:val="none"/>
        </w:rPr>
        <w:t xml:space="preserve"> World Trade Organization (</w:t>
      </w:r>
      <w:r>
        <w:rPr>
          <w:b w:val="0"/>
          <w:i w:val="0"/>
          <w:smallCaps w:val="0"/>
          <w:strike w:val="0"/>
          <w:sz w:val="20"/>
          <w:highlight w:val="cyan"/>
          <w:u w:val="single"/>
        </w:rPr>
        <w:t>WTO</w:t>
      </w:r>
      <w:r>
        <w:rPr>
          <w:b w:val="0"/>
          <w:i w:val="0"/>
          <w:smallCaps w:val="0"/>
          <w:strike w:val="0"/>
          <w:sz w:val="16"/>
          <w:u w:val="none"/>
        </w:rPr>
        <w:t xml:space="preserve">) show that </w:t>
      </w:r>
      <w:r>
        <w:rPr>
          <w:b w:val="0"/>
          <w:i w:val="0"/>
          <w:smallCaps w:val="0"/>
          <w:strike w:val="0"/>
          <w:sz w:val="20"/>
          <w:highlight w:val="cyan"/>
          <w:u w:val="single"/>
        </w:rPr>
        <w:t>global trade</w:t>
      </w:r>
      <w:r>
        <w:rPr>
          <w:b w:val="0"/>
          <w:i w:val="0"/>
          <w:smallCaps w:val="0"/>
          <w:strike w:val="0"/>
          <w:sz w:val="16"/>
          <w:u w:val="none"/>
        </w:rPr>
        <w:t xml:space="preserve"> in intermediate goods—items used to manufacture downstream products and thus a sign of companies’ use of global value chains—</w:t>
      </w:r>
      <w:r>
        <w:rPr>
          <w:b w:val="0"/>
          <w:i w:val="0"/>
          <w:smallCaps w:val="0"/>
          <w:strike w:val="0"/>
          <w:sz w:val="20"/>
          <w:highlight w:val="cyan"/>
          <w:u w:val="single"/>
        </w:rPr>
        <w:t xml:space="preserve">was </w:t>
      </w:r>
      <w:r>
        <w:rPr>
          <w:b/>
          <w:i w:val="0"/>
          <w:smallCaps w:val="0"/>
          <w:strike w:val="0"/>
          <w:sz w:val="20"/>
          <w:highlight w:val="cyan"/>
          <w:u w:val="single"/>
        </w:rPr>
        <w:t>well above</w:t>
      </w:r>
      <w:r>
        <w:rPr>
          <w:b w:val="0"/>
          <w:i w:val="0"/>
          <w:smallCaps w:val="0"/>
          <w:strike w:val="0"/>
          <w:sz w:val="20"/>
          <w:highlight w:val="cyan"/>
          <w:u w:val="single"/>
        </w:rPr>
        <w:t xml:space="preserve"> pre‐​pandemic levels in 2021</w:t>
      </w:r>
      <w:r>
        <w:rPr>
          <w:b w:val="0"/>
          <w:i w:val="0"/>
          <w:smallCaps w:val="0"/>
          <w:strike w:val="0"/>
          <w:sz w:val="16"/>
          <w:u w:val="none"/>
        </w:rPr>
        <w:t xml:space="preserve"> (see Table 1) and heading for even greater heights in 2022.</w:t>
      </w:r>
    </w:p>
    <w:p>
      <w:pPr>
        <w:spacing w:after="60"/>
      </w:pPr>
      <w:r>
        <w:rPr>
          <w:b w:val="0"/>
          <w:i w:val="0"/>
          <w:smallCaps w:val="0"/>
          <w:strike w:val="0"/>
          <w:sz w:val="20"/>
          <w:highlight w:val="cyan"/>
          <w:u w:val="single"/>
        </w:rPr>
        <w:t xml:space="preserve">Other </w:t>
      </w:r>
      <w:r>
        <w:rPr>
          <w:b/>
          <w:i w:val="0"/>
          <w:smallCaps w:val="0"/>
          <w:strike w:val="0"/>
          <w:sz w:val="20"/>
          <w:highlight w:val="cyan"/>
          <w:u w:val="single"/>
        </w:rPr>
        <w:t>indicators</w:t>
      </w:r>
      <w:r>
        <w:rPr>
          <w:b w:val="0"/>
          <w:i w:val="0"/>
          <w:smallCaps w:val="0"/>
          <w:strike w:val="0"/>
          <w:sz w:val="20"/>
          <w:highlight w:val="cyan"/>
          <w:u w:val="single"/>
        </w:rPr>
        <w:t xml:space="preserve"> reveal similar </w:t>
      </w:r>
      <w:r>
        <w:rPr>
          <w:b/>
          <w:i w:val="0"/>
          <w:smallCaps w:val="0"/>
          <w:strike w:val="0"/>
          <w:sz w:val="20"/>
          <w:highlight w:val="cyan"/>
          <w:u w:val="single"/>
        </w:rPr>
        <w:t>strength</w:t>
      </w:r>
      <w:r>
        <w:rPr>
          <w:b w:val="0"/>
          <w:i w:val="0"/>
          <w:smallCaps w:val="0"/>
          <w:strike w:val="0"/>
          <w:sz w:val="20"/>
          <w:u w:val="single"/>
        </w:rPr>
        <w:t xml:space="preserve"> for global trade in goods</w:t>
      </w:r>
      <w:r>
        <w:rPr>
          <w:b w:val="0"/>
          <w:i w:val="0"/>
          <w:smallCaps w:val="0"/>
          <w:strike w:val="0"/>
          <w:sz w:val="16"/>
          <w:u w:val="none"/>
        </w:rPr>
        <w:t xml:space="preserve">: For example, a record number of ships (23,583) transited the Suez Canal last year—easily surpassing a 2021 record (20,694) that occurred despite the famous Ever Given ship blocking the canal for several days. The Suez Canal Authority is expanding the canal to handle even more traffic in the years ahead. </w:t>
      </w:r>
      <w:r>
        <w:rPr>
          <w:b w:val="0"/>
          <w:i w:val="0"/>
          <w:smallCaps w:val="0"/>
          <w:strike w:val="0"/>
          <w:sz w:val="20"/>
          <w:u w:val="single"/>
        </w:rPr>
        <w:t xml:space="preserve">The </w:t>
      </w:r>
      <w:r>
        <w:rPr>
          <w:b w:val="0"/>
          <w:i w:val="0"/>
          <w:smallCaps w:val="0"/>
          <w:strike w:val="0"/>
          <w:sz w:val="20"/>
          <w:highlight w:val="cyan"/>
          <w:u w:val="single"/>
        </w:rPr>
        <w:t>Panama</w:t>
      </w:r>
      <w:r>
        <w:rPr>
          <w:b w:val="0"/>
          <w:i w:val="0"/>
          <w:smallCaps w:val="0"/>
          <w:strike w:val="0"/>
          <w:sz w:val="20"/>
          <w:u w:val="single"/>
        </w:rPr>
        <w:t xml:space="preserve"> Canal also </w:t>
      </w:r>
      <w:r>
        <w:rPr>
          <w:b w:val="0"/>
          <w:i w:val="0"/>
          <w:smallCaps w:val="0"/>
          <w:strike w:val="0"/>
          <w:sz w:val="20"/>
          <w:highlight w:val="cyan"/>
          <w:u w:val="single"/>
        </w:rPr>
        <w:t>saw record tonnage</w:t>
      </w:r>
      <w:r>
        <w:rPr>
          <w:b w:val="0"/>
          <w:i w:val="0"/>
          <w:smallCaps w:val="0"/>
          <w:strike w:val="0"/>
          <w:sz w:val="16"/>
          <w:u w:val="none"/>
        </w:rPr>
        <w:t xml:space="preserve"> in 2022 (beating 2021’s record), while </w:t>
      </w:r>
      <w:r>
        <w:rPr>
          <w:b w:val="0"/>
          <w:i w:val="0"/>
          <w:smallCaps w:val="0"/>
          <w:strike w:val="0"/>
          <w:sz w:val="20"/>
          <w:highlight w:val="cyan"/>
          <w:u w:val="single"/>
        </w:rPr>
        <w:t>U.S. ports broke</w:t>
      </w:r>
      <w:r>
        <w:rPr>
          <w:b w:val="0"/>
          <w:i w:val="0"/>
          <w:smallCaps w:val="0"/>
          <w:strike w:val="0"/>
          <w:sz w:val="20"/>
          <w:u w:val="single"/>
        </w:rPr>
        <w:t xml:space="preserve"> volume </w:t>
      </w:r>
      <w:r>
        <w:rPr>
          <w:b w:val="0"/>
          <w:i w:val="0"/>
          <w:smallCaps w:val="0"/>
          <w:strike w:val="0"/>
          <w:sz w:val="20"/>
          <w:highlight w:val="cyan"/>
          <w:u w:val="single"/>
        </w:rPr>
        <w:t>records</w:t>
      </w:r>
      <w:r>
        <w:rPr>
          <w:b w:val="0"/>
          <w:i w:val="0"/>
          <w:smallCaps w:val="0"/>
          <w:strike w:val="0"/>
          <w:sz w:val="16"/>
          <w:u w:val="none"/>
        </w:rPr>
        <w:t xml:space="preserve"> in 2021 (Los Angeles, Long Beach) and 2022 (New York/​New Jersey, Houston, Virginia, Savannah, and Charleston).</w:t>
      </w:r>
    </w:p>
    <w:p>
      <w:pPr>
        <w:spacing w:after="60"/>
      </w:pPr>
      <w:r>
        <w:rPr>
          <w:b w:val="0"/>
          <w:i w:val="0"/>
          <w:smallCaps w:val="0"/>
          <w:strike w:val="0"/>
          <w:sz w:val="16"/>
          <w:u w:val="none"/>
        </w:rPr>
        <w:t xml:space="preserve">In short, </w:t>
      </w:r>
      <w:r>
        <w:rPr>
          <w:b w:val="0"/>
          <w:i w:val="0"/>
          <w:smallCaps w:val="0"/>
          <w:strike w:val="0"/>
          <w:sz w:val="20"/>
          <w:u w:val="single"/>
        </w:rPr>
        <w:t xml:space="preserve">there are </w:t>
      </w:r>
      <w:r>
        <w:rPr>
          <w:b/>
          <w:i w:val="0"/>
          <w:smallCaps w:val="0"/>
          <w:strike w:val="0"/>
          <w:sz w:val="20"/>
          <w:u w:val="single"/>
        </w:rPr>
        <w:t>numerous signs</w:t>
      </w:r>
      <w:r>
        <w:rPr>
          <w:b w:val="0"/>
          <w:i w:val="0"/>
          <w:smallCaps w:val="0"/>
          <w:strike w:val="0"/>
          <w:sz w:val="20"/>
          <w:u w:val="single"/>
        </w:rPr>
        <w:t xml:space="preserve"> that global goods trade is </w:t>
      </w:r>
      <w:r>
        <w:rPr>
          <w:b/>
          <w:i w:val="0"/>
          <w:smallCaps w:val="0"/>
          <w:strike w:val="0"/>
          <w:sz w:val="20"/>
          <w:u w:val="single"/>
        </w:rPr>
        <w:t>still increasing</w:t>
      </w:r>
      <w:r>
        <w:rPr>
          <w:b w:val="0"/>
          <w:i w:val="0"/>
          <w:smallCaps w:val="0"/>
          <w:strike w:val="0"/>
          <w:sz w:val="16"/>
          <w:u w:val="none"/>
        </w:rPr>
        <w:t xml:space="preserve">—just not as fast as the rest of the global economy. </w:t>
      </w:r>
      <w:r>
        <w:rPr>
          <w:b w:val="0"/>
          <w:i w:val="0"/>
          <w:smallCaps w:val="0"/>
          <w:strike w:val="0"/>
          <w:sz w:val="20"/>
          <w:highlight w:val="cyan"/>
          <w:u w:val="single"/>
        </w:rPr>
        <w:t xml:space="preserve">This is </w:t>
      </w:r>
      <w:r>
        <w:rPr>
          <w:b/>
          <w:i w:val="0"/>
          <w:smallCaps w:val="0"/>
          <w:strike w:val="0"/>
          <w:sz w:val="20"/>
          <w:highlight w:val="cyan"/>
          <w:u w:val="single"/>
        </w:rPr>
        <w:t>hardly</w:t>
      </w:r>
      <w:r>
        <w:rPr>
          <w:b w:val="0"/>
          <w:i w:val="0"/>
          <w:smallCaps w:val="0"/>
          <w:strike w:val="0"/>
          <w:sz w:val="20"/>
          <w:highlight w:val="cyan"/>
          <w:u w:val="single"/>
        </w:rPr>
        <w:t xml:space="preserve"> the “death of globalization.”</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