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Globalization is stagnating. </w:t>
      </w:r>
    </w:p>
    <w:p>
      <w:pPr>
        <w:spacing w:after="80"/>
      </w:pPr>
      <w:r>
        <w:rPr>
          <w:b/>
          <w:i w:val="0"/>
          <w:smallCaps w:val="0"/>
          <w:strike w:val="0"/>
          <w:sz w:val="24"/>
          <w:u w:val="none"/>
        </w:rPr>
        <w:t>Keller and Marold 23</w:t>
      </w:r>
      <w:r>
        <w:rPr>
          <w:b w:val="0"/>
          <w:i w:val="0"/>
          <w:smallCaps w:val="0"/>
          <w:strike w:val="0"/>
          <w:sz w:val="16"/>
          <w:u w:val="none"/>
        </w:rPr>
        <w:t xml:space="preserve">---Christian Keller is a Managing Director and Head of Economics Research at Barclays, leading a global team covering both Developed and Emerging Markets. Renate Marold is a Director in the Investment Sciences team based in New York. Her focus is on employing alternative data and data science methods to explain macroeconomic and financial trends. (“Deglobalisation: what you need to know”, World Economic Forum, 1-17-2023, </w:t>
      </w:r>
      <w:r>
        <w:rPr>
          <w:b w:val="0"/>
          <w:i w:val="0"/>
          <w:smallCaps w:val="0"/>
          <w:strike w:val="0"/>
          <w:sz w:val="16"/>
          <w:u w:val="none"/>
        </w:rPr>
        <w:t>https://www.weforum.org/agenda/2023/01/deglobalisation-what-you-need-to-know-wef23/</w:t>
      </w:r>
      <w:r>
        <w:rPr>
          <w:b w:val="0"/>
          <w:i w:val="0"/>
          <w:smallCaps w:val="0"/>
          <w:strike w:val="0"/>
          <w:sz w:val="16"/>
          <w:u w:val="none"/>
        </w:rPr>
        <w:t>)//AN</w:t>
      </w:r>
    </w:p>
    <w:p>
      <w:pPr>
        <w:spacing w:after="60"/>
      </w:pPr>
      <w:r>
        <w:rPr>
          <w:b w:val="0"/>
          <w:i w:val="0"/>
          <w:smallCaps w:val="0"/>
          <w:strike w:val="0"/>
          <w:sz w:val="20"/>
          <w:u w:val="single"/>
        </w:rPr>
        <w:t xml:space="preserve">In response to </w:t>
      </w:r>
      <w:r>
        <w:rPr>
          <w:b/>
          <w:i w:val="0"/>
          <w:smallCaps w:val="0"/>
          <w:strike w:val="0"/>
          <w:sz w:val="20"/>
          <w:u w:val="single"/>
        </w:rPr>
        <w:t>COVID</w:t>
      </w:r>
      <w:r>
        <w:rPr>
          <w:b w:val="0"/>
          <w:i w:val="0"/>
          <w:smallCaps w:val="0"/>
          <w:strike w:val="0"/>
          <w:sz w:val="16"/>
          <w:u w:val="none"/>
        </w:rPr>
        <w:t xml:space="preserve">-19, </w:t>
      </w:r>
      <w:r>
        <w:rPr>
          <w:b w:val="0"/>
          <w:i w:val="0"/>
          <w:smallCaps w:val="0"/>
          <w:strike w:val="0"/>
          <w:sz w:val="20"/>
          <w:u w:val="single"/>
        </w:rPr>
        <w:t xml:space="preserve">Russia’s war with </w:t>
      </w:r>
      <w:r>
        <w:rPr>
          <w:b/>
          <w:i w:val="0"/>
          <w:smallCaps w:val="0"/>
          <w:strike w:val="0"/>
          <w:sz w:val="20"/>
          <w:u w:val="single"/>
        </w:rPr>
        <w:t>Ukraine</w:t>
      </w:r>
      <w:r>
        <w:rPr>
          <w:b w:val="0"/>
          <w:i w:val="0"/>
          <w:smallCaps w:val="0"/>
          <w:strike w:val="0"/>
          <w:sz w:val="20"/>
          <w:u w:val="single"/>
        </w:rPr>
        <w:t xml:space="preserve"> and climate change</w:t>
      </w:r>
      <w:r>
        <w:rPr>
          <w:b w:val="0"/>
          <w:i w:val="0"/>
          <w:smallCaps w:val="0"/>
          <w:strike w:val="0"/>
          <w:sz w:val="16"/>
          <w:u w:val="none"/>
        </w:rPr>
        <w:t>, governments and global companies are seeking security and resilience over the benefits of global value chains.</w:t>
      </w:r>
    </w:p>
    <w:p>
      <w:pPr>
        <w:spacing w:after="60"/>
      </w:pPr>
      <w:r>
        <w:rPr>
          <w:b w:val="0"/>
          <w:i w:val="0"/>
          <w:smallCaps w:val="0"/>
          <w:strike w:val="0"/>
          <w:sz w:val="20"/>
          <w:highlight w:val="cyan"/>
          <w:u w:val="single"/>
        </w:rPr>
        <w:t xml:space="preserve">There are </w:t>
      </w:r>
      <w:r>
        <w:rPr>
          <w:b/>
          <w:i w:val="0"/>
          <w:smallCaps w:val="0"/>
          <w:strike w:val="0"/>
          <w:sz w:val="20"/>
          <w:highlight w:val="cyan"/>
          <w:u w:val="single"/>
        </w:rPr>
        <w:t>strong signals</w:t>
      </w:r>
      <w:r>
        <w:rPr>
          <w:b w:val="0"/>
          <w:i w:val="0"/>
          <w:smallCaps w:val="0"/>
          <w:strike w:val="0"/>
          <w:sz w:val="20"/>
          <w:highlight w:val="cyan"/>
          <w:u w:val="single"/>
        </w:rPr>
        <w:t xml:space="preserve"> that</w:t>
      </w:r>
      <w:r>
        <w:rPr>
          <w:b w:val="0"/>
          <w:i w:val="0"/>
          <w:smallCaps w:val="0"/>
          <w:strike w:val="0"/>
          <w:sz w:val="16"/>
          <w:u w:val="none"/>
        </w:rPr>
        <w:t xml:space="preserve"> the era of </w:t>
      </w:r>
      <w:r>
        <w:rPr>
          <w:b w:val="0"/>
          <w:i w:val="0"/>
          <w:smallCaps w:val="0"/>
          <w:strike w:val="0"/>
          <w:sz w:val="20"/>
          <w:highlight w:val="cyan"/>
          <w:u w:val="single"/>
        </w:rPr>
        <w:t xml:space="preserve">globalisation is coming to an </w:t>
      </w:r>
      <w:r>
        <w:rPr>
          <w:b/>
          <w:i w:val="0"/>
          <w:smallCaps w:val="0"/>
          <w:strike w:val="0"/>
          <w:sz w:val="20"/>
          <w:highlight w:val="cyan"/>
          <w:u w:val="single"/>
        </w:rPr>
        <w:t>end</w:t>
      </w:r>
      <w:r>
        <w:rPr>
          <w:b w:val="0"/>
          <w:i w:val="0"/>
          <w:smallCaps w:val="0"/>
          <w:strike w:val="0"/>
          <w:sz w:val="16"/>
          <w:u w:val="none"/>
        </w:rPr>
        <w:t>, analysis by research analysts at Barclays Corporate and Investment Bank suggests.</w:t>
      </w:r>
    </w:p>
    <w:p>
      <w:pPr>
        <w:spacing w:after="60"/>
      </w:pPr>
      <w:r>
        <w:rPr>
          <w:b w:val="0"/>
          <w:i w:val="0"/>
          <w:smallCaps w:val="0"/>
          <w:strike w:val="0"/>
          <w:sz w:val="16"/>
          <w:u w:val="none"/>
        </w:rPr>
        <w:t>Sentiment is turning towards deglobalisation</w:t>
      </w:r>
    </w:p>
    <w:p>
      <w:pPr>
        <w:spacing w:after="60"/>
      </w:pPr>
      <w:r>
        <w:rPr>
          <w:b w:val="0"/>
          <w:i w:val="0"/>
          <w:smallCaps w:val="0"/>
          <w:strike w:val="0"/>
          <w:sz w:val="16"/>
          <w:u w:val="none"/>
        </w:rPr>
        <w:t xml:space="preserve">The rise of </w:t>
      </w:r>
      <w:r>
        <w:rPr>
          <w:b w:val="0"/>
          <w:i w:val="0"/>
          <w:smallCaps w:val="0"/>
          <w:strike w:val="0"/>
          <w:sz w:val="20"/>
          <w:u w:val="single"/>
        </w:rPr>
        <w:t xml:space="preserve">globalisation was </w:t>
      </w:r>
      <w:r>
        <w:rPr>
          <w:b/>
          <w:i w:val="0"/>
          <w:smallCaps w:val="0"/>
          <w:strike w:val="0"/>
          <w:sz w:val="20"/>
          <w:u w:val="single"/>
        </w:rPr>
        <w:t>never</w:t>
      </w:r>
      <w:r>
        <w:rPr>
          <w:b w:val="0"/>
          <w:i w:val="0"/>
          <w:smallCaps w:val="0"/>
          <w:strike w:val="0"/>
          <w:sz w:val="16"/>
          <w:u w:val="none"/>
        </w:rPr>
        <w:t xml:space="preserve"> entirely smooth or </w:t>
      </w:r>
      <w:r>
        <w:rPr>
          <w:b/>
          <w:i w:val="0"/>
          <w:smallCaps w:val="0"/>
          <w:strike w:val="0"/>
          <w:sz w:val="20"/>
          <w:u w:val="single"/>
        </w:rPr>
        <w:t>assured</w:t>
      </w:r>
      <w:r>
        <w:rPr>
          <w:b w:val="0"/>
          <w:i w:val="0"/>
          <w:smallCaps w:val="0"/>
          <w:strike w:val="0"/>
          <w:sz w:val="16"/>
          <w:u w:val="none"/>
        </w:rPr>
        <w:t>. The reduction of global trade that was bookended by the two world wars was followed by 60 years of increased globalisation. This included the hyper-globalisation period from 1990 to 2008.</w:t>
      </w:r>
    </w:p>
    <w:p>
      <w:pPr>
        <w:spacing w:after="60"/>
      </w:pPr>
      <w:r>
        <w:rPr>
          <w:b w:val="0"/>
          <w:i w:val="0"/>
          <w:smallCaps w:val="0"/>
          <w:strike w:val="0"/>
          <w:sz w:val="16"/>
          <w:u w:val="none"/>
        </w:rPr>
        <w:t xml:space="preserve">However, </w:t>
      </w:r>
      <w:r>
        <w:rPr>
          <w:b w:val="0"/>
          <w:i w:val="0"/>
          <w:smallCaps w:val="0"/>
          <w:strike w:val="0"/>
          <w:sz w:val="20"/>
          <w:u w:val="single"/>
        </w:rPr>
        <w:t xml:space="preserve">the </w:t>
      </w:r>
      <w:r>
        <w:rPr>
          <w:b/>
          <w:i w:val="0"/>
          <w:smallCaps w:val="0"/>
          <w:strike w:val="0"/>
          <w:sz w:val="20"/>
          <w:highlight w:val="cyan"/>
          <w:u w:val="single"/>
        </w:rPr>
        <w:t>2008</w:t>
      </w:r>
      <w:r>
        <w:rPr>
          <w:b w:val="0"/>
          <w:i w:val="0"/>
          <w:smallCaps w:val="0"/>
          <w:strike w:val="0"/>
          <w:sz w:val="20"/>
          <w:u w:val="single"/>
        </w:rPr>
        <w:t xml:space="preserve"> financial crisis, </w:t>
      </w:r>
      <w:r>
        <w:rPr>
          <w:b/>
          <w:i w:val="0"/>
          <w:smallCaps w:val="0"/>
          <w:strike w:val="0"/>
          <w:sz w:val="20"/>
          <w:highlight w:val="cyan"/>
          <w:u w:val="single"/>
        </w:rPr>
        <w:t>trade wars</w:t>
      </w:r>
      <w:r>
        <w:rPr>
          <w:b w:val="0"/>
          <w:i w:val="0"/>
          <w:smallCaps w:val="0"/>
          <w:strike w:val="0"/>
          <w:sz w:val="20"/>
          <w:highlight w:val="cyan"/>
          <w:u w:val="single"/>
        </w:rPr>
        <w:t xml:space="preserve">, disenfranchised </w:t>
      </w:r>
      <w:r>
        <w:rPr>
          <w:b/>
          <w:i w:val="0"/>
          <w:smallCaps w:val="0"/>
          <w:strike w:val="0"/>
          <w:sz w:val="20"/>
          <w:highlight w:val="cyan"/>
          <w:u w:val="single"/>
        </w:rPr>
        <w:t>middle class</w:t>
      </w:r>
      <w:r>
        <w:rPr>
          <w:b w:val="0"/>
          <w:i w:val="0"/>
          <w:smallCaps w:val="0"/>
          <w:strike w:val="0"/>
          <w:sz w:val="20"/>
          <w:highlight w:val="cyan"/>
          <w:u w:val="single"/>
        </w:rPr>
        <w:t>es</w:t>
      </w:r>
      <w:r>
        <w:rPr>
          <w:b w:val="0"/>
          <w:i w:val="0"/>
          <w:smallCaps w:val="0"/>
          <w:strike w:val="0"/>
          <w:sz w:val="16"/>
          <w:u w:val="none"/>
        </w:rPr>
        <w:t xml:space="preserve"> in developed economies </w:t>
      </w:r>
      <w:r>
        <w:rPr>
          <w:b w:val="0"/>
          <w:i w:val="0"/>
          <w:smallCaps w:val="0"/>
          <w:strike w:val="0"/>
          <w:sz w:val="20"/>
          <w:u w:val="single"/>
        </w:rPr>
        <w:t>and</w:t>
      </w:r>
      <w:r>
        <w:rPr>
          <w:b w:val="0"/>
          <w:i w:val="0"/>
          <w:smallCaps w:val="0"/>
          <w:strike w:val="0"/>
          <w:sz w:val="16"/>
          <w:u w:val="none"/>
        </w:rPr>
        <w:t xml:space="preserve"> rising concerns about </w:t>
      </w:r>
      <w:r>
        <w:rPr>
          <w:b w:val="0"/>
          <w:i w:val="0"/>
          <w:smallCaps w:val="0"/>
          <w:strike w:val="0"/>
          <w:sz w:val="20"/>
          <w:highlight w:val="cyan"/>
          <w:u w:val="single"/>
        </w:rPr>
        <w:t>over-reliance on trade with single</w:t>
      </w:r>
      <w:r>
        <w:rPr>
          <w:b w:val="0"/>
          <w:i w:val="0"/>
          <w:smallCaps w:val="0"/>
          <w:strike w:val="0"/>
          <w:sz w:val="20"/>
          <w:u w:val="single"/>
        </w:rPr>
        <w:t xml:space="preserve"> </w:t>
      </w:r>
      <w:r>
        <w:rPr>
          <w:b w:val="0"/>
          <w:i w:val="0"/>
          <w:smallCaps w:val="0"/>
          <w:strike w:val="0"/>
          <w:sz w:val="20"/>
          <w:highlight w:val="cyan"/>
          <w:u w:val="single"/>
        </w:rPr>
        <w:t>partners</w:t>
      </w:r>
      <w:r>
        <w:rPr>
          <w:b w:val="0"/>
          <w:i w:val="0"/>
          <w:smallCaps w:val="0"/>
          <w:strike w:val="0"/>
          <w:sz w:val="20"/>
          <w:u w:val="single"/>
        </w:rPr>
        <w:t xml:space="preserve"> led to a period of </w:t>
      </w:r>
      <w:r>
        <w:rPr>
          <w:b w:val="0"/>
          <w:i w:val="0"/>
          <w:smallCaps w:val="0"/>
          <w:strike w:val="0"/>
          <w:sz w:val="16"/>
          <w:u w:val="none"/>
        </w:rPr>
        <w:t xml:space="preserve">relatively </w:t>
      </w:r>
      <w:r>
        <w:rPr>
          <w:b/>
          <w:i w:val="0"/>
          <w:smallCaps w:val="0"/>
          <w:strike w:val="0"/>
          <w:sz w:val="20"/>
          <w:u w:val="single"/>
        </w:rPr>
        <w:t>stagnant</w:t>
      </w:r>
      <w:r>
        <w:rPr>
          <w:b w:val="0"/>
          <w:i w:val="0"/>
          <w:smallCaps w:val="0"/>
          <w:strike w:val="0"/>
          <w:sz w:val="20"/>
          <w:u w:val="single"/>
        </w:rPr>
        <w:t xml:space="preserve"> "</w:t>
      </w:r>
      <w:r>
        <w:rPr>
          <w:b/>
          <w:i w:val="0"/>
          <w:smallCaps w:val="0"/>
          <w:strike w:val="0"/>
          <w:sz w:val="20"/>
          <w:u w:val="single"/>
        </w:rPr>
        <w:t>slowbalisation</w:t>
      </w:r>
      <w:r>
        <w:rPr>
          <w:b w:val="0"/>
          <w:i w:val="0"/>
          <w:smallCaps w:val="0"/>
          <w:strike w:val="0"/>
          <w:sz w:val="20"/>
          <w:u w:val="single"/>
        </w:rPr>
        <w:t>".</w:t>
      </w:r>
    </w:p>
    <w:p>
      <w:pPr>
        <w:spacing w:after="60"/>
      </w:pPr>
      <w:r>
        <w:rPr>
          <w:b w:val="0"/>
          <w:i w:val="0"/>
          <w:smallCaps w:val="0"/>
          <w:strike w:val="0"/>
          <w:sz w:val="20"/>
          <w:u w:val="single"/>
        </w:rPr>
        <w:t xml:space="preserve">Today, "slowbalisation" appears to be moving towards </w:t>
      </w:r>
      <w:r>
        <w:rPr>
          <w:b/>
          <w:i w:val="0"/>
          <w:smallCaps w:val="0"/>
          <w:strike w:val="0"/>
          <w:sz w:val="20"/>
          <w:u w:val="single"/>
        </w:rPr>
        <w:t>deglobalisation</w:t>
      </w:r>
      <w:r>
        <w:rPr>
          <w:b w:val="0"/>
          <w:i w:val="0"/>
          <w:smallCaps w:val="0"/>
          <w:strike w:val="0"/>
          <w:sz w:val="16"/>
          <w:u w:val="none"/>
        </w:rPr>
        <w:t xml:space="preserve">. Recent </w:t>
      </w:r>
      <w:r>
        <w:rPr>
          <w:b/>
          <w:i w:val="0"/>
          <w:smallCaps w:val="0"/>
          <w:strike w:val="0"/>
          <w:sz w:val="20"/>
          <w:u w:val="single"/>
        </w:rPr>
        <w:t>disruptions</w:t>
      </w:r>
      <w:r>
        <w:rPr>
          <w:b w:val="0"/>
          <w:i w:val="0"/>
          <w:smallCaps w:val="0"/>
          <w:strike w:val="0"/>
          <w:sz w:val="16"/>
          <w:u w:val="none"/>
        </w:rPr>
        <w:t xml:space="preserve"> to global value chains </w:t>
      </w:r>
      <w:r>
        <w:rPr>
          <w:b w:val="0"/>
          <w:i w:val="0"/>
          <w:smallCaps w:val="0"/>
          <w:strike w:val="0"/>
          <w:sz w:val="20"/>
          <w:u w:val="single"/>
        </w:rPr>
        <w:t xml:space="preserve">such as the </w:t>
      </w:r>
      <w:r>
        <w:rPr>
          <w:b/>
          <w:i w:val="0"/>
          <w:smallCaps w:val="0"/>
          <w:strike w:val="0"/>
          <w:sz w:val="20"/>
          <w:highlight w:val="cyan"/>
          <w:u w:val="single"/>
        </w:rPr>
        <w:t>COVID</w:t>
      </w:r>
      <w:r>
        <w:rPr>
          <w:b w:val="0"/>
          <w:i w:val="0"/>
          <w:smallCaps w:val="0"/>
          <w:strike w:val="0"/>
          <w:sz w:val="16"/>
          <w:u w:val="none"/>
        </w:rPr>
        <w:t xml:space="preserve">-19 pandemic, the war in </w:t>
      </w:r>
      <w:r>
        <w:rPr>
          <w:b/>
          <w:i w:val="0"/>
          <w:smallCaps w:val="0"/>
          <w:strike w:val="0"/>
          <w:sz w:val="20"/>
          <w:highlight w:val="cyan"/>
          <w:u w:val="single"/>
        </w:rPr>
        <w:t>Ukraine</w:t>
      </w:r>
      <w:r>
        <w:rPr>
          <w:b w:val="0"/>
          <w:i w:val="0"/>
          <w:smallCaps w:val="0"/>
          <w:strike w:val="0"/>
          <w:sz w:val="16"/>
          <w:u w:val="none"/>
        </w:rPr>
        <w:t xml:space="preserve">, growing ideological differences </w:t>
      </w:r>
      <w:r>
        <w:rPr>
          <w:b w:val="0"/>
          <w:i w:val="0"/>
          <w:smallCaps w:val="0"/>
          <w:strike w:val="0"/>
          <w:sz w:val="20"/>
          <w:highlight w:val="cyan"/>
          <w:u w:val="single"/>
        </w:rPr>
        <w:t xml:space="preserve">and the </w:t>
      </w:r>
      <w:r>
        <w:rPr>
          <w:b/>
          <w:i w:val="0"/>
          <w:smallCaps w:val="0"/>
          <w:strike w:val="0"/>
          <w:sz w:val="20"/>
          <w:highlight w:val="cyan"/>
          <w:u w:val="single"/>
        </w:rPr>
        <w:t>green transition</w:t>
      </w:r>
      <w:r>
        <w:rPr>
          <w:b w:val="0"/>
          <w:i w:val="0"/>
          <w:smallCaps w:val="0"/>
          <w:strike w:val="0"/>
          <w:sz w:val="20"/>
          <w:highlight w:val="cyan"/>
          <w:u w:val="single"/>
        </w:rPr>
        <w:t xml:space="preserve"> have prompted governments</w:t>
      </w:r>
      <w:r>
        <w:rPr>
          <w:b w:val="0"/>
          <w:i w:val="0"/>
          <w:smallCaps w:val="0"/>
          <w:strike w:val="0"/>
          <w:sz w:val="16"/>
          <w:u w:val="none"/>
        </w:rPr>
        <w:t xml:space="preserve"> and corporations </w:t>
      </w:r>
      <w:r>
        <w:rPr>
          <w:b w:val="0"/>
          <w:i w:val="0"/>
          <w:smallCaps w:val="0"/>
          <w:strike w:val="0"/>
          <w:sz w:val="20"/>
          <w:highlight w:val="cyan"/>
          <w:u w:val="single"/>
        </w:rPr>
        <w:t xml:space="preserve">to </w:t>
      </w:r>
      <w:r>
        <w:rPr>
          <w:b w:val="0"/>
          <w:i w:val="0"/>
          <w:smallCaps w:val="0"/>
          <w:strike w:val="0"/>
          <w:sz w:val="20"/>
          <w:u w:val="single"/>
        </w:rPr>
        <w:t xml:space="preserve">reconsider </w:t>
      </w:r>
      <w:r>
        <w:rPr>
          <w:b/>
          <w:i w:val="0"/>
          <w:smallCaps w:val="0"/>
          <w:strike w:val="0"/>
          <w:sz w:val="20"/>
          <w:u w:val="single"/>
        </w:rPr>
        <w:t>external dependencies</w:t>
      </w:r>
      <w:r>
        <w:rPr>
          <w:b w:val="0"/>
          <w:i w:val="0"/>
          <w:smallCaps w:val="0"/>
          <w:strike w:val="0"/>
          <w:sz w:val="16"/>
          <w:u w:val="none"/>
        </w:rPr>
        <w:t xml:space="preserve">. </w:t>
      </w:r>
      <w:r>
        <w:rPr>
          <w:b w:val="0"/>
          <w:i w:val="0"/>
          <w:smallCaps w:val="0"/>
          <w:strike w:val="0"/>
          <w:sz w:val="20"/>
          <w:u w:val="single"/>
        </w:rPr>
        <w:t xml:space="preserve">They are </w:t>
      </w:r>
      <w:r>
        <w:rPr>
          <w:b w:val="0"/>
          <w:i w:val="0"/>
          <w:smallCaps w:val="0"/>
          <w:strike w:val="0"/>
          <w:sz w:val="20"/>
          <w:highlight w:val="cyan"/>
          <w:u w:val="single"/>
        </w:rPr>
        <w:t>look</w:t>
      </w:r>
      <w:r>
        <w:rPr>
          <w:b w:val="0"/>
          <w:i w:val="0"/>
          <w:smallCaps w:val="0"/>
          <w:strike w:val="0"/>
          <w:sz w:val="20"/>
          <w:u w:val="single"/>
        </w:rPr>
        <w:t xml:space="preserve">ing </w:t>
      </w:r>
      <w:r>
        <w:rPr>
          <w:b/>
          <w:i w:val="0"/>
          <w:smallCaps w:val="0"/>
          <w:strike w:val="0"/>
          <w:sz w:val="20"/>
          <w:highlight w:val="cyan"/>
          <w:u w:val="single"/>
        </w:rPr>
        <w:t>close</w:t>
      </w:r>
      <w:r>
        <w:rPr>
          <w:b w:val="0"/>
          <w:i w:val="0"/>
          <w:smallCaps w:val="0"/>
          <w:strike w:val="0"/>
          <w:sz w:val="20"/>
          <w:highlight w:val="cyan"/>
          <w:u w:val="single"/>
        </w:rPr>
        <w:t>r to</w:t>
      </w:r>
      <w:r>
        <w:rPr>
          <w:b w:val="0"/>
          <w:i w:val="0"/>
          <w:smallCaps w:val="0"/>
          <w:strike w:val="0"/>
          <w:sz w:val="20"/>
          <w:u w:val="single"/>
        </w:rPr>
        <w:t xml:space="preserve"> </w:t>
      </w:r>
      <w:r>
        <w:rPr>
          <w:b/>
          <w:i w:val="0"/>
          <w:smallCaps w:val="0"/>
          <w:strike w:val="0"/>
          <w:sz w:val="20"/>
          <w:highlight w:val="cyan"/>
          <w:u w:val="single"/>
        </w:rPr>
        <w:t>home</w:t>
      </w:r>
      <w:r>
        <w:rPr>
          <w:b w:val="0"/>
          <w:i w:val="0"/>
          <w:smallCaps w:val="0"/>
          <w:strike w:val="0"/>
          <w:sz w:val="16"/>
          <w:u w:val="none"/>
        </w:rPr>
        <w:t xml:space="preserve"> and to trusted partners for more resilient growth models.</w:t>
      </w:r>
    </w:p>
    <w:p>
      <w:pPr>
        <w:spacing w:after="60"/>
      </w:pPr>
      <w:r>
        <w:rPr>
          <w:b w:val="0"/>
          <w:i w:val="0"/>
          <w:smallCaps w:val="0"/>
          <w:strike w:val="0"/>
          <w:sz w:val="16"/>
          <w:u w:val="none"/>
        </w:rPr>
        <w:t>This sentiment is transcending media headlines and political posturing, and is becoming part of general corporate rhetoric. According to Barclays’ Investment Sciences team, a small but notable fraction — 4% — of corporate transcripts mentioned onshoring in 2022. Striking, when this has been under 1% prior to the pandemic.</w:t>
      </w:r>
    </w:p>
    <w:p>
      <w:pPr>
        <w:spacing w:after="60"/>
      </w:pPr>
      <w:r>
        <w:rPr>
          <w:b w:val="0"/>
          <w:i w:val="0"/>
          <w:smallCaps w:val="0"/>
          <w:strike w:val="0"/>
          <w:sz w:val="16"/>
          <w:u w:val="none"/>
        </w:rPr>
        <w:t>Deglobalisation isn't completely global</w:t>
      </w:r>
    </w:p>
    <w:p>
      <w:pPr>
        <w:spacing w:after="60"/>
      </w:pPr>
      <w:r>
        <w:rPr>
          <w:b w:val="0"/>
          <w:i w:val="0"/>
          <w:smallCaps w:val="0"/>
          <w:strike w:val="0"/>
          <w:sz w:val="16"/>
          <w:u w:val="none"/>
        </w:rPr>
        <w:t>While M&amp;A (Mergers &amp; Acquisitions) and jobs data suggest that deglobalisation is occurring, it is not happening uniformly across the planet. Increased onshoring of jobs is taking place primarily in Asia. Domestic employment is also increasing in the US and Europe, but this appears to balance local resignations, and the net trend in both regions is still towards globalisation, albeit among more junior roles.</w:t>
      </w:r>
    </w:p>
    <w:p>
      <w:pPr>
        <w:spacing w:after="60"/>
      </w:pPr>
      <w:r>
        <w:rPr>
          <w:b w:val="0"/>
          <w:i w:val="0"/>
          <w:smallCaps w:val="0"/>
          <w:strike w:val="0"/>
          <w:sz w:val="16"/>
          <w:u w:val="none"/>
        </w:rPr>
        <w:t xml:space="preserve">Barclays also found evidence that </w:t>
      </w:r>
      <w:r>
        <w:rPr>
          <w:b/>
          <w:i w:val="0"/>
          <w:smallCaps w:val="0"/>
          <w:strike w:val="0"/>
          <w:sz w:val="20"/>
          <w:highlight w:val="cyan"/>
          <w:u w:val="single"/>
        </w:rPr>
        <w:t>fewer</w:t>
      </w:r>
      <w:r>
        <w:rPr>
          <w:b w:val="0"/>
          <w:i w:val="0"/>
          <w:smallCaps w:val="0"/>
          <w:strike w:val="0"/>
          <w:sz w:val="20"/>
          <w:highlight w:val="cyan"/>
          <w:u w:val="single"/>
        </w:rPr>
        <w:t xml:space="preserve"> announced</w:t>
      </w:r>
      <w:r>
        <w:rPr>
          <w:b w:val="0"/>
          <w:i w:val="0"/>
          <w:smallCaps w:val="0"/>
          <w:strike w:val="0"/>
          <w:sz w:val="16"/>
          <w:u w:val="none"/>
        </w:rPr>
        <w:t xml:space="preserve"> M&amp;A </w:t>
      </w:r>
      <w:r>
        <w:rPr>
          <w:b w:val="0"/>
          <w:i w:val="0"/>
          <w:smallCaps w:val="0"/>
          <w:strike w:val="0"/>
          <w:sz w:val="20"/>
          <w:highlight w:val="cyan"/>
          <w:u w:val="single"/>
        </w:rPr>
        <w:t>deals have been completed</w:t>
      </w:r>
      <w:r>
        <w:rPr>
          <w:b w:val="0"/>
          <w:i w:val="0"/>
          <w:smallCaps w:val="0"/>
          <w:strike w:val="0"/>
          <w:sz w:val="20"/>
          <w:u w:val="single"/>
        </w:rPr>
        <w:t xml:space="preserve"> </w:t>
      </w:r>
      <w:r>
        <w:rPr>
          <w:b/>
          <w:i w:val="0"/>
          <w:smallCaps w:val="0"/>
          <w:strike w:val="0"/>
          <w:sz w:val="20"/>
          <w:u w:val="single"/>
        </w:rPr>
        <w:t>recently</w:t>
      </w:r>
      <w:r>
        <w:rPr>
          <w:b w:val="0"/>
          <w:i w:val="0"/>
          <w:smallCaps w:val="0"/>
          <w:strike w:val="0"/>
          <w:sz w:val="20"/>
          <w:u w:val="single"/>
        </w:rPr>
        <w:t xml:space="preserve"> than </w:t>
      </w:r>
      <w:r>
        <w:rPr>
          <w:b w:val="0"/>
          <w:i w:val="0"/>
          <w:smallCaps w:val="0"/>
          <w:strike w:val="0"/>
          <w:sz w:val="20"/>
          <w:highlight w:val="cyan"/>
          <w:u w:val="single"/>
        </w:rPr>
        <w:t>historical patterns would suggest</w:t>
      </w:r>
      <w:r>
        <w:rPr>
          <w:b w:val="0"/>
          <w:i w:val="0"/>
          <w:smallCaps w:val="0"/>
          <w:strike w:val="0"/>
          <w:sz w:val="16"/>
          <w:u w:val="none"/>
        </w:rPr>
        <w:t xml:space="preserve">. Moreover, </w:t>
      </w:r>
      <w:r>
        <w:rPr>
          <w:b/>
          <w:i w:val="0"/>
          <w:smallCaps w:val="0"/>
          <w:strike w:val="0"/>
          <w:sz w:val="20"/>
          <w:u w:val="single"/>
        </w:rPr>
        <w:t>deals</w:t>
      </w:r>
      <w:r>
        <w:rPr>
          <w:b w:val="0"/>
          <w:i w:val="0"/>
          <w:smallCaps w:val="0"/>
          <w:strike w:val="0"/>
          <w:sz w:val="20"/>
          <w:u w:val="single"/>
        </w:rPr>
        <w:t xml:space="preserve"> between target firms in Europe and North America </w:t>
      </w:r>
      <w:r>
        <w:rPr>
          <w:b w:val="0"/>
          <w:i w:val="0"/>
          <w:smallCaps w:val="0"/>
          <w:strike w:val="0"/>
          <w:sz w:val="16"/>
          <w:u w:val="none"/>
        </w:rPr>
        <w:t>are</w:t>
      </w:r>
      <w:r>
        <w:rPr>
          <w:b/>
          <w:i w:val="0"/>
          <w:smallCaps w:val="0"/>
          <w:strike w:val="0"/>
          <w:sz w:val="20"/>
          <w:u w:val="single"/>
        </w:rPr>
        <w:t xml:space="preserve"> less likely to succeed</w:t>
      </w:r>
      <w:r>
        <w:rPr>
          <w:b w:val="0"/>
          <w:i w:val="0"/>
          <w:smallCaps w:val="0"/>
          <w:strike w:val="0"/>
          <w:sz w:val="16"/>
          <w:u w:val="none"/>
        </w:rPr>
        <w:t xml:space="preserve"> when the acquirer is outside these regions, especially for target firms in industries such as advanced technology, finance and retail. On the other hand, deals targeting firms in, for example, consumer staples, are more likely to succeed.</w:t>
      </w:r>
    </w:p>
    <w:p>
      <w:pPr>
        <w:spacing w:after="60"/>
      </w:pPr>
      <w:r>
        <w:rPr>
          <w:b w:val="0"/>
          <w:i w:val="0"/>
          <w:smallCaps w:val="0"/>
          <w:strike w:val="0"/>
          <w:sz w:val="16"/>
          <w:u w:val="none"/>
        </w:rPr>
        <w:t xml:space="preserve">Similarly, </w:t>
      </w:r>
      <w:r>
        <w:rPr>
          <w:b w:val="0"/>
          <w:i w:val="0"/>
          <w:smallCaps w:val="0"/>
          <w:strike w:val="0"/>
          <w:sz w:val="20"/>
          <w:highlight w:val="cyan"/>
          <w:u w:val="single"/>
        </w:rPr>
        <w:t>the slowdown of</w:t>
      </w:r>
      <w:r>
        <w:rPr>
          <w:b w:val="0"/>
          <w:i w:val="0"/>
          <w:smallCaps w:val="0"/>
          <w:strike w:val="0"/>
          <w:sz w:val="20"/>
          <w:u w:val="single"/>
        </w:rPr>
        <w:t xml:space="preserve"> </w:t>
      </w:r>
      <w:r>
        <w:rPr>
          <w:b w:val="0"/>
          <w:i w:val="0"/>
          <w:smallCaps w:val="0"/>
          <w:strike w:val="0"/>
          <w:sz w:val="16"/>
          <w:u w:val="none"/>
        </w:rPr>
        <w:t xml:space="preserve">M&amp;A </w:t>
      </w:r>
      <w:r>
        <w:rPr>
          <w:b w:val="0"/>
          <w:i w:val="0"/>
          <w:smallCaps w:val="0"/>
          <w:strike w:val="0"/>
          <w:sz w:val="20"/>
          <w:highlight w:val="cyan"/>
          <w:u w:val="single"/>
        </w:rPr>
        <w:t>activity may</w:t>
      </w:r>
      <w:r>
        <w:rPr>
          <w:b w:val="0"/>
          <w:i w:val="0"/>
          <w:smallCaps w:val="0"/>
          <w:strike w:val="0"/>
          <w:sz w:val="20"/>
          <w:u w:val="single"/>
        </w:rPr>
        <w:t xml:space="preserve"> not </w:t>
      </w:r>
      <w:r>
        <w:rPr>
          <w:b w:val="0"/>
          <w:i w:val="0"/>
          <w:smallCaps w:val="0"/>
          <w:strike w:val="0"/>
          <w:sz w:val="20"/>
          <w:highlight w:val="cyan"/>
          <w:u w:val="single"/>
        </w:rPr>
        <w:t>be caused</w:t>
      </w:r>
      <w:r>
        <w:rPr>
          <w:b w:val="0"/>
          <w:i w:val="0"/>
          <w:smallCaps w:val="0"/>
          <w:strike w:val="0"/>
          <w:sz w:val="20"/>
          <w:u w:val="single"/>
        </w:rPr>
        <w:t xml:space="preserve"> solely by macroeconomic trends, but </w:t>
      </w:r>
      <w:r>
        <w:rPr>
          <w:b w:val="0"/>
          <w:i w:val="0"/>
          <w:smallCaps w:val="0"/>
          <w:strike w:val="0"/>
          <w:sz w:val="20"/>
          <w:highlight w:val="cyan"/>
          <w:u w:val="single"/>
        </w:rPr>
        <w:t>also by regulatory concerns</w:t>
      </w:r>
      <w:r>
        <w:rPr>
          <w:b w:val="0"/>
          <w:i w:val="0"/>
          <w:smallCaps w:val="0"/>
          <w:strike w:val="0"/>
          <w:sz w:val="16"/>
          <w:u w:val="none"/>
        </w:rPr>
        <w:t>, as the European Commission and the UK antitrust authority increase scrutiny on deals.</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