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Trade is declining---pandemic and global populism. </w:t>
      </w:r>
    </w:p>
    <w:p>
      <w:pPr>
        <w:spacing w:after="80"/>
      </w:pPr>
      <w:r>
        <w:rPr>
          <w:b/>
          <w:i w:val="0"/>
          <w:smallCaps w:val="0"/>
          <w:strike w:val="0"/>
          <w:sz w:val="24"/>
          <w:u w:val="none"/>
        </w:rPr>
        <w:t>Kose and Mulabdic 24</w:t>
      </w:r>
      <w:r>
        <w:rPr>
          <w:b w:val="0"/>
          <w:i w:val="0"/>
          <w:smallCaps w:val="0"/>
          <w:strike w:val="0"/>
          <w:sz w:val="16"/>
          <w:u w:val="none"/>
        </w:rPr>
        <w:t xml:space="preserve">---Ayhan Kose is the Deputy Chief Economist of the World Bank Group and Director of the Prospects Group. He is a member of the Chief Economist’s leadership team overseeing the Bank’s analytical work, and policy and operational advice. Alen Mulabdic is a Senior Economist in the Development Economics Prospects Group of the World Bank, working on international trade and macroeconomic issues. He holds a Ph.D. in Economics from the Graduate Institute of International and Development Studies (IHEID) in Geneva, Switzerland. (“Global trade has nearly flatlined. Populism is taking a toll on growth”, World Bank Blogs, 2-22-2024, </w:t>
      </w:r>
      <w:r>
        <w:rPr>
          <w:b w:val="0"/>
          <w:i w:val="0"/>
          <w:smallCaps w:val="0"/>
          <w:strike w:val="0"/>
          <w:sz w:val="16"/>
          <w:u w:val="none"/>
        </w:rPr>
        <w:t>https://blogs.worldbank.org/en/voices/global-trade-has-nearly-flatlined-populism-taking-toll-growth</w:t>
      </w:r>
      <w:r>
        <w:rPr>
          <w:b w:val="0"/>
          <w:i w:val="0"/>
          <w:smallCaps w:val="0"/>
          <w:strike w:val="0"/>
          <w:sz w:val="16"/>
          <w:u w:val="none"/>
        </w:rPr>
        <w:t>)//AN</w:t>
      </w:r>
    </w:p>
    <w:p>
      <w:pPr>
        <w:spacing w:after="60"/>
      </w:pPr>
      <w:r>
        <w:rPr>
          <w:b w:val="0"/>
          <w:i w:val="0"/>
          <w:smallCaps w:val="0"/>
          <w:strike w:val="0"/>
          <w:sz w:val="16"/>
          <w:u w:val="none"/>
        </w:rPr>
        <w:t xml:space="preserve">The World Trade Organization's (WTO) top decision-making body will have every reason to fret when it meets on February 26. </w:t>
      </w:r>
      <w:r>
        <w:rPr>
          <w:b w:val="0"/>
          <w:i w:val="0"/>
          <w:smallCaps w:val="0"/>
          <w:strike w:val="0"/>
          <w:sz w:val="20"/>
          <w:highlight w:val="cyan"/>
          <w:u w:val="single"/>
        </w:rPr>
        <w:t>International trade</w:t>
      </w:r>
      <w:r>
        <w:rPr>
          <w:b w:val="0"/>
          <w:i w:val="0"/>
          <w:smallCaps w:val="0"/>
          <w:strike w:val="0"/>
          <w:sz w:val="16"/>
          <w:u w:val="none"/>
        </w:rPr>
        <w:t xml:space="preserve">—a key engine of global prosperity since the fall of the Berlin Wall— </w:t>
      </w:r>
      <w:r>
        <w:rPr>
          <w:b w:val="0"/>
          <w:i w:val="0"/>
          <w:smallCaps w:val="0"/>
          <w:strike w:val="0"/>
          <w:sz w:val="20"/>
          <w:highlight w:val="cyan"/>
          <w:u w:val="single"/>
        </w:rPr>
        <w:t>has ground</w:t>
      </w:r>
      <w:r>
        <w:rPr>
          <w:b w:val="0"/>
          <w:i w:val="0"/>
          <w:smallCaps w:val="0"/>
          <w:strike w:val="0"/>
          <w:sz w:val="20"/>
          <w:u w:val="single"/>
        </w:rPr>
        <w:t xml:space="preserve"> </w:t>
      </w:r>
      <w:r>
        <w:rPr>
          <w:b/>
          <w:i w:val="0"/>
          <w:smallCaps w:val="0"/>
          <w:strike w:val="0"/>
          <w:sz w:val="20"/>
          <w:u w:val="single"/>
        </w:rPr>
        <w:t xml:space="preserve">nearly </w:t>
      </w:r>
      <w:r>
        <w:rPr>
          <w:b/>
          <w:i w:val="0"/>
          <w:smallCaps w:val="0"/>
          <w:strike w:val="0"/>
          <w:sz w:val="20"/>
          <w:highlight w:val="cyan"/>
          <w:u w:val="single"/>
        </w:rPr>
        <w:t>to a halt</w:t>
      </w:r>
      <w:r>
        <w:rPr>
          <w:b w:val="0"/>
          <w:i w:val="0"/>
          <w:smallCaps w:val="0"/>
          <w:strike w:val="0"/>
          <w:sz w:val="20"/>
          <w:highlight w:val="cyan"/>
          <w:u w:val="single"/>
        </w:rPr>
        <w:t xml:space="preserve"> and is </w:t>
      </w:r>
      <w:r>
        <w:rPr>
          <w:b w:val="0"/>
          <w:i w:val="0"/>
          <w:smallCaps w:val="0"/>
          <w:strike w:val="0"/>
          <w:sz w:val="20"/>
          <w:u w:val="single"/>
        </w:rPr>
        <w:t xml:space="preserve">set </w:t>
      </w:r>
      <w:r>
        <w:rPr>
          <w:b w:val="0"/>
          <w:i w:val="0"/>
          <w:smallCaps w:val="0"/>
          <w:strike w:val="0"/>
          <w:sz w:val="20"/>
          <w:highlight w:val="cyan"/>
          <w:u w:val="single"/>
        </w:rPr>
        <w:t xml:space="preserve">to remain </w:t>
      </w:r>
      <w:r>
        <w:rPr>
          <w:b/>
          <w:i w:val="0"/>
          <w:smallCaps w:val="0"/>
          <w:strike w:val="0"/>
          <w:sz w:val="20"/>
          <w:highlight w:val="cyan"/>
          <w:u w:val="single"/>
        </w:rPr>
        <w:t>anemic</w:t>
      </w:r>
      <w:r>
        <w:rPr>
          <w:b w:val="0"/>
          <w:i w:val="0"/>
          <w:smallCaps w:val="0"/>
          <w:strike w:val="0"/>
          <w:sz w:val="20"/>
          <w:highlight w:val="cyan"/>
          <w:u w:val="single"/>
        </w:rPr>
        <w:t xml:space="preserve"> in </w:t>
      </w:r>
      <w:r>
        <w:rPr>
          <w:b w:val="0"/>
          <w:i w:val="0"/>
          <w:smallCaps w:val="0"/>
          <w:strike w:val="0"/>
          <w:sz w:val="20"/>
          <w:u w:val="single"/>
        </w:rPr>
        <w:t xml:space="preserve">the </w:t>
      </w:r>
      <w:r>
        <w:rPr>
          <w:b w:val="0"/>
          <w:i w:val="0"/>
          <w:smallCaps w:val="0"/>
          <w:strike w:val="0"/>
          <w:sz w:val="20"/>
          <w:highlight w:val="cyan"/>
          <w:u w:val="single"/>
        </w:rPr>
        <w:t>coming years</w:t>
      </w:r>
      <w:r>
        <w:rPr>
          <w:b w:val="0"/>
          <w:i w:val="0"/>
          <w:smallCaps w:val="0"/>
          <w:strike w:val="0"/>
          <w:sz w:val="16"/>
          <w:u w:val="none"/>
        </w:rPr>
        <w:t xml:space="preserve">. In 2023, trade in goods and services expanded by the slenderest of margins, an estimated 0.2 percent, the slowest pace in 50 years outside of global recessions. It would have declined outright but for the growth of trade in services. </w:t>
      </w:r>
      <w:r>
        <w:rPr>
          <w:b w:val="0"/>
          <w:i w:val="0"/>
          <w:smallCaps w:val="0"/>
          <w:strike w:val="0"/>
          <w:sz w:val="20"/>
          <w:highlight w:val="cyan"/>
          <w:u w:val="single"/>
        </w:rPr>
        <w:t xml:space="preserve">Trade in goods </w:t>
      </w:r>
      <w:r>
        <w:rPr>
          <w:b/>
          <w:i w:val="0"/>
          <w:smallCaps w:val="0"/>
          <w:strike w:val="0"/>
          <w:sz w:val="20"/>
          <w:highlight w:val="cyan"/>
          <w:u w:val="single"/>
        </w:rPr>
        <w:t>shrank</w:t>
      </w:r>
      <w:r>
        <w:rPr>
          <w:b w:val="0"/>
          <w:i w:val="0"/>
          <w:smallCaps w:val="0"/>
          <w:strike w:val="0"/>
          <w:sz w:val="20"/>
          <w:u w:val="single"/>
        </w:rPr>
        <w:t xml:space="preserve"> roughly </w:t>
      </w:r>
      <w:r>
        <w:rPr>
          <w:b w:val="0"/>
          <w:i w:val="0"/>
          <w:smallCaps w:val="0"/>
          <w:strike w:val="0"/>
          <w:sz w:val="20"/>
          <w:highlight w:val="cyan"/>
          <w:u w:val="single"/>
        </w:rPr>
        <w:t>2 percent</w:t>
      </w:r>
      <w:r>
        <w:rPr>
          <w:b w:val="0"/>
          <w:i w:val="0"/>
          <w:smallCaps w:val="0"/>
          <w:strike w:val="0"/>
          <w:sz w:val="20"/>
          <w:u w:val="single"/>
        </w:rPr>
        <w:t xml:space="preserve">, the </w:t>
      </w:r>
      <w:r>
        <w:rPr>
          <w:b/>
          <w:i w:val="0"/>
          <w:smallCaps w:val="0"/>
          <w:strike w:val="0"/>
          <w:sz w:val="20"/>
          <w:u w:val="single"/>
        </w:rPr>
        <w:t>sharpest contraction</w:t>
      </w:r>
      <w:r>
        <w:rPr>
          <w:b w:val="0"/>
          <w:i w:val="0"/>
          <w:smallCaps w:val="0"/>
          <w:strike w:val="0"/>
          <w:sz w:val="20"/>
          <w:u w:val="single"/>
        </w:rPr>
        <w:t xml:space="preserve"> during this century outside of a global recession. Trade </w:t>
      </w:r>
      <w:r>
        <w:rPr>
          <w:b w:val="0"/>
          <w:i w:val="0"/>
          <w:smallCaps w:val="0"/>
          <w:strike w:val="0"/>
          <w:sz w:val="20"/>
          <w:highlight w:val="cyan"/>
          <w:u w:val="single"/>
        </w:rPr>
        <w:t>growth will</w:t>
      </w:r>
      <w:r>
        <w:rPr>
          <w:b w:val="0"/>
          <w:i w:val="0"/>
          <w:smallCaps w:val="0"/>
          <w:strike w:val="0"/>
          <w:sz w:val="16"/>
          <w:u w:val="none"/>
        </w:rPr>
        <w:t xml:space="preserve"> improve this year but it will still </w:t>
      </w:r>
      <w:r>
        <w:rPr>
          <w:b w:val="0"/>
          <w:i w:val="0"/>
          <w:smallCaps w:val="0"/>
          <w:strike w:val="0"/>
          <w:sz w:val="20"/>
          <w:highlight w:val="cyan"/>
          <w:u w:val="single"/>
        </w:rPr>
        <w:t xml:space="preserve">be </w:t>
      </w:r>
      <w:r>
        <w:rPr>
          <w:b/>
          <w:i w:val="0"/>
          <w:smallCaps w:val="0"/>
          <w:strike w:val="0"/>
          <w:sz w:val="20"/>
          <w:highlight w:val="cyan"/>
          <w:u w:val="single"/>
        </w:rPr>
        <w:t>half</w:t>
      </w:r>
      <w:r>
        <w:rPr>
          <w:b w:val="0"/>
          <w:i w:val="0"/>
          <w:smallCaps w:val="0"/>
          <w:strike w:val="0"/>
          <w:sz w:val="20"/>
          <w:highlight w:val="cyan"/>
          <w:u w:val="single"/>
        </w:rPr>
        <w:t xml:space="preserve"> the average rate</w:t>
      </w:r>
      <w:r>
        <w:rPr>
          <w:b w:val="0"/>
          <w:i w:val="0"/>
          <w:smallCaps w:val="0"/>
          <w:strike w:val="0"/>
          <w:sz w:val="20"/>
          <w:u w:val="single"/>
        </w:rPr>
        <w:t xml:space="preserve"> in the decade </w:t>
      </w:r>
      <w:r>
        <w:rPr>
          <w:b w:val="0"/>
          <w:i w:val="0"/>
          <w:smallCaps w:val="0"/>
          <w:strike w:val="0"/>
          <w:sz w:val="20"/>
          <w:highlight w:val="cyan"/>
          <w:u w:val="single"/>
        </w:rPr>
        <w:t>before the</w:t>
      </w:r>
      <w:r>
        <w:rPr>
          <w:b w:val="0"/>
          <w:i w:val="0"/>
          <w:smallCaps w:val="0"/>
          <w:strike w:val="0"/>
          <w:sz w:val="20"/>
          <w:u w:val="single"/>
        </w:rPr>
        <w:t xml:space="preserve"> </w:t>
      </w:r>
      <w:r>
        <w:rPr>
          <w:b/>
          <w:i w:val="0"/>
          <w:smallCaps w:val="0"/>
          <w:strike w:val="0"/>
          <w:sz w:val="20"/>
          <w:highlight w:val="cyan"/>
          <w:u w:val="single"/>
        </w:rPr>
        <w:t>pandemic</w:t>
      </w:r>
      <w:r>
        <w:rPr>
          <w:b w:val="0"/>
          <w:i w:val="0"/>
          <w:smallCaps w:val="0"/>
          <w:strike w:val="0"/>
          <w:sz w:val="16"/>
          <w:u w:val="none"/>
        </w:rPr>
        <w:t xml:space="preserve">. In fact, </w:t>
      </w:r>
      <w:r>
        <w:rPr>
          <w:b w:val="0"/>
          <w:i w:val="0"/>
          <w:smallCaps w:val="0"/>
          <w:strike w:val="0"/>
          <w:sz w:val="20"/>
          <w:highlight w:val="cyan"/>
          <w:u w:val="single"/>
        </w:rPr>
        <w:t xml:space="preserve">by the </w:t>
      </w:r>
      <w:r>
        <w:rPr>
          <w:b/>
          <w:i w:val="0"/>
          <w:smallCaps w:val="0"/>
          <w:strike w:val="0"/>
          <w:sz w:val="20"/>
          <w:highlight w:val="cyan"/>
          <w:u w:val="single"/>
        </w:rPr>
        <w:t>end of 2024</w:t>
      </w:r>
      <w:r>
        <w:rPr>
          <w:b w:val="0"/>
          <w:i w:val="0"/>
          <w:smallCaps w:val="0"/>
          <w:strike w:val="0"/>
          <w:sz w:val="20"/>
          <w:highlight w:val="cyan"/>
          <w:u w:val="single"/>
        </w:rPr>
        <w:t xml:space="preserve">, global trade will register the </w:t>
      </w:r>
      <w:r>
        <w:rPr>
          <w:b/>
          <w:i w:val="0"/>
          <w:smallCaps w:val="0"/>
          <w:strike w:val="0"/>
          <w:sz w:val="20"/>
          <w:highlight w:val="cyan"/>
          <w:u w:val="single"/>
        </w:rPr>
        <w:t>slowest</w:t>
      </w:r>
      <w:r>
        <w:rPr>
          <w:b w:val="0"/>
          <w:i w:val="0"/>
          <w:smallCaps w:val="0"/>
          <w:strike w:val="0"/>
          <w:sz w:val="20"/>
          <w:u w:val="single"/>
        </w:rPr>
        <w:t xml:space="preserve"> half-decade of </w:t>
      </w:r>
      <w:r>
        <w:rPr>
          <w:b/>
          <w:i w:val="0"/>
          <w:smallCaps w:val="0"/>
          <w:strike w:val="0"/>
          <w:sz w:val="20"/>
          <w:u w:val="single"/>
        </w:rPr>
        <w:t>growth</w:t>
      </w:r>
      <w:r>
        <w:rPr>
          <w:b w:val="0"/>
          <w:i w:val="0"/>
          <w:smallCaps w:val="0"/>
          <w:strike w:val="0"/>
          <w:sz w:val="20"/>
          <w:u w:val="single"/>
        </w:rPr>
        <w:t xml:space="preserve"> </w:t>
      </w:r>
      <w:r>
        <w:rPr>
          <w:b w:val="0"/>
          <w:i w:val="0"/>
          <w:smallCaps w:val="0"/>
          <w:strike w:val="0"/>
          <w:sz w:val="20"/>
          <w:highlight w:val="cyan"/>
          <w:u w:val="single"/>
        </w:rPr>
        <w:t>since the 1990s</w:t>
      </w:r>
      <w:r>
        <w:rPr>
          <w:b w:val="0"/>
          <w:i w:val="0"/>
          <w:smallCaps w:val="0"/>
          <w:strike w:val="0"/>
          <w:sz w:val="20"/>
          <w:u w:val="single"/>
        </w:rPr>
        <w:t xml:space="preserve">. </w:t>
      </w:r>
    </w:p>
    <w:p>
      <w:pPr>
        <w:spacing w:after="60"/>
      </w:pPr>
      <w:r>
        <w:rPr>
          <w:b w:val="0"/>
          <w:i w:val="0"/>
          <w:smallCaps w:val="0"/>
          <w:strike w:val="0"/>
          <w:sz w:val="16"/>
          <w:u w:val="none"/>
        </w:rPr>
        <w:t>Global Trade Growth is Slowing</w:t>
      </w:r>
    </w:p>
    <w:p>
      <w:pPr>
        <w:spacing w:after="60"/>
      </w:pPr>
      <w:r>
        <w:rPr>
          <w:b w:val="0"/>
          <w:i w:val="0"/>
          <w:smallCaps w:val="0"/>
          <w:strike w:val="0"/>
          <w:sz w:val="16"/>
          <w:u w:val="none"/>
        </w:rPr>
        <w:t xml:space="preserve">[CHART OMITTED] </w:t>
      </w:r>
    </w:p>
    <w:p>
      <w:pPr>
        <w:spacing w:after="60"/>
      </w:pPr>
      <w:r>
        <w:rPr>
          <w:b w:val="0"/>
          <w:i w:val="0"/>
          <w:smallCaps w:val="0"/>
          <w:strike w:val="0"/>
          <w:sz w:val="16"/>
          <w:u w:val="none"/>
        </w:rPr>
        <w:t xml:space="preserve">That is an ill omen for people's living standards everywhere. The rapid expansion of global trade after 1990 enabled one billion people to escape extreme poverty. It souped up growth in developing economies, enabling many of them to narrow the income gap with wealthier economies. During the first decade of this century, per-capita incomes in developing economies grew 3.5 percentage points faster than in developed economies. Trade also sped up the diffusion of technology, contributing to productivity growth across the world. </w:t>
      </w:r>
    </w:p>
    <w:p>
      <w:pPr>
        <w:spacing w:after="60"/>
      </w:pPr>
      <w:r>
        <w:rPr>
          <w:b w:val="0"/>
          <w:i w:val="0"/>
          <w:smallCaps w:val="0"/>
          <w:strike w:val="0"/>
          <w:sz w:val="16"/>
          <w:u w:val="none"/>
        </w:rPr>
        <w:t xml:space="preserve">Yet memories are short. Today, </w:t>
      </w:r>
      <w:r>
        <w:rPr>
          <w:b w:val="0"/>
          <w:i w:val="0"/>
          <w:smallCaps w:val="0"/>
          <w:strike w:val="0"/>
          <w:sz w:val="20"/>
          <w:highlight w:val="cyan"/>
          <w:u w:val="single"/>
        </w:rPr>
        <w:t xml:space="preserve">misguided </w:t>
      </w:r>
      <w:r>
        <w:rPr>
          <w:b/>
          <w:i w:val="0"/>
          <w:smallCaps w:val="0"/>
          <w:strike w:val="0"/>
          <w:sz w:val="20"/>
          <w:highlight w:val="cyan"/>
          <w:u w:val="single"/>
        </w:rPr>
        <w:t>populism</w:t>
      </w:r>
      <w:r>
        <w:rPr>
          <w:b w:val="0"/>
          <w:i w:val="0"/>
          <w:smallCaps w:val="0"/>
          <w:strike w:val="0"/>
          <w:sz w:val="20"/>
          <w:u w:val="single"/>
        </w:rPr>
        <w:t xml:space="preserve"> in many countries </w:t>
      </w:r>
      <w:r>
        <w:rPr>
          <w:b w:val="0"/>
          <w:i w:val="0"/>
          <w:smallCaps w:val="0"/>
          <w:strike w:val="0"/>
          <w:sz w:val="20"/>
          <w:highlight w:val="cyan"/>
          <w:u w:val="single"/>
        </w:rPr>
        <w:t>is doing</w:t>
      </w:r>
      <w:r>
        <w:rPr>
          <w:b w:val="0"/>
          <w:i w:val="0"/>
          <w:smallCaps w:val="0"/>
          <w:strike w:val="0"/>
          <w:sz w:val="20"/>
          <w:u w:val="single"/>
        </w:rPr>
        <w:t xml:space="preserve"> </w:t>
      </w:r>
      <w:r>
        <w:rPr>
          <w:b w:val="0"/>
          <w:i w:val="0"/>
          <w:smallCaps w:val="0"/>
          <w:strike w:val="0"/>
          <w:sz w:val="16"/>
          <w:u w:val="none"/>
        </w:rPr>
        <w:t xml:space="preserve">serious </w:t>
      </w:r>
      <w:r>
        <w:rPr>
          <w:b/>
          <w:i w:val="0"/>
          <w:smallCaps w:val="0"/>
          <w:strike w:val="0"/>
          <w:sz w:val="20"/>
          <w:highlight w:val="cyan"/>
          <w:u w:val="single"/>
        </w:rPr>
        <w:t>damage</w:t>
      </w:r>
      <w:r>
        <w:rPr>
          <w:b w:val="0"/>
          <w:i w:val="0"/>
          <w:smallCaps w:val="0"/>
          <w:strike w:val="0"/>
          <w:sz w:val="20"/>
          <w:highlight w:val="cyan"/>
          <w:u w:val="single"/>
        </w:rPr>
        <w:t xml:space="preserve"> to global trade</w:t>
      </w:r>
      <w:r>
        <w:rPr>
          <w:b w:val="0"/>
          <w:i w:val="0"/>
          <w:smallCaps w:val="0"/>
          <w:strike w:val="0"/>
          <w:sz w:val="16"/>
          <w:u w:val="none"/>
        </w:rPr>
        <w:t xml:space="preserve">. Many </w:t>
      </w:r>
      <w:r>
        <w:rPr>
          <w:b w:val="0"/>
          <w:i w:val="0"/>
          <w:smallCaps w:val="0"/>
          <w:strike w:val="0"/>
          <w:sz w:val="20"/>
          <w:highlight w:val="cyan"/>
          <w:u w:val="single"/>
        </w:rPr>
        <w:t>countries have lost their appetite for</w:t>
      </w:r>
      <w:r>
        <w:rPr>
          <w:b w:val="0"/>
          <w:i w:val="0"/>
          <w:smallCaps w:val="0"/>
          <w:strike w:val="0"/>
          <w:sz w:val="20"/>
          <w:u w:val="single"/>
        </w:rPr>
        <w:t xml:space="preserve"> </w:t>
      </w:r>
      <w:r>
        <w:rPr>
          <w:b/>
          <w:i w:val="0"/>
          <w:smallCaps w:val="0"/>
          <w:strike w:val="0"/>
          <w:sz w:val="20"/>
          <w:u w:val="single"/>
        </w:rPr>
        <w:t xml:space="preserve">new </w:t>
      </w:r>
      <w:r>
        <w:rPr>
          <w:b/>
          <w:i w:val="0"/>
          <w:smallCaps w:val="0"/>
          <w:strike w:val="0"/>
          <w:sz w:val="20"/>
          <w:highlight w:val="cyan"/>
          <w:u w:val="single"/>
        </w:rPr>
        <w:t>trade</w:t>
      </w:r>
      <w:r>
        <w:rPr>
          <w:b w:val="0"/>
          <w:i w:val="0"/>
          <w:smallCaps w:val="0"/>
          <w:strike w:val="0"/>
          <w:sz w:val="20"/>
          <w:u w:val="single"/>
        </w:rPr>
        <w:t xml:space="preserve"> </w:t>
      </w:r>
      <w:r>
        <w:rPr>
          <w:b w:val="0"/>
          <w:i w:val="0"/>
          <w:smallCaps w:val="0"/>
          <w:strike w:val="0"/>
          <w:sz w:val="20"/>
          <w:highlight w:val="cyan"/>
          <w:u w:val="single"/>
        </w:rPr>
        <w:t>agreements</w:t>
      </w:r>
      <w:r>
        <w:rPr>
          <w:b w:val="0"/>
          <w:i w:val="0"/>
          <w:smallCaps w:val="0"/>
          <w:strike w:val="0"/>
          <w:sz w:val="16"/>
          <w:u w:val="none"/>
        </w:rPr>
        <w:t xml:space="preserve">. In the 2020s so far, an average of just five agreements have been signed each year—less than half the rate of the 2000s. </w:t>
      </w:r>
      <w:r>
        <w:rPr>
          <w:b w:val="0"/>
          <w:i w:val="0"/>
          <w:smallCaps w:val="0"/>
          <w:strike w:val="0"/>
          <w:sz w:val="20"/>
          <w:highlight w:val="cyan"/>
          <w:u w:val="single"/>
        </w:rPr>
        <w:t xml:space="preserve">Their appetite for trade </w:t>
      </w:r>
      <w:r>
        <w:rPr>
          <w:b/>
          <w:i w:val="0"/>
          <w:smallCaps w:val="0"/>
          <w:strike w:val="0"/>
          <w:sz w:val="20"/>
          <w:highlight w:val="cyan"/>
          <w:u w:val="single"/>
        </w:rPr>
        <w:t>restrictions</w:t>
      </w:r>
      <w:r>
        <w:rPr>
          <w:b w:val="0"/>
          <w:i w:val="0"/>
          <w:smallCaps w:val="0"/>
          <w:strike w:val="0"/>
          <w:sz w:val="20"/>
          <w:u w:val="single"/>
        </w:rPr>
        <w:t xml:space="preserve">, meanwhile, </w:t>
      </w:r>
      <w:r>
        <w:rPr>
          <w:b w:val="0"/>
          <w:i w:val="0"/>
          <w:smallCaps w:val="0"/>
          <w:strike w:val="0"/>
          <w:sz w:val="20"/>
          <w:highlight w:val="cyan"/>
          <w:u w:val="single"/>
        </w:rPr>
        <w:t xml:space="preserve">seems </w:t>
      </w:r>
      <w:r>
        <w:rPr>
          <w:b/>
          <w:i w:val="0"/>
          <w:smallCaps w:val="0"/>
          <w:strike w:val="0"/>
          <w:sz w:val="20"/>
          <w:highlight w:val="cyan"/>
          <w:u w:val="single"/>
        </w:rPr>
        <w:t>insatiable</w:t>
      </w:r>
      <w:r>
        <w:rPr>
          <w:b w:val="0"/>
          <w:i w:val="0"/>
          <w:smallCaps w:val="0"/>
          <w:strike w:val="0"/>
          <w:sz w:val="16"/>
          <w:highlight w:val="cyan"/>
          <w:u w:val="none"/>
        </w:rPr>
        <w:t xml:space="preserve">. </w:t>
      </w:r>
      <w:r>
        <w:rPr>
          <w:b w:val="0"/>
          <w:i w:val="0"/>
          <w:smallCaps w:val="0"/>
          <w:strike w:val="0"/>
          <w:sz w:val="20"/>
          <w:highlight w:val="cyan"/>
          <w:u w:val="single"/>
        </w:rPr>
        <w:t>In 2023</w:t>
      </w:r>
      <w:r>
        <w:rPr>
          <w:b w:val="0"/>
          <w:i w:val="0"/>
          <w:smallCaps w:val="0"/>
          <w:strike w:val="0"/>
          <w:sz w:val="20"/>
          <w:u w:val="single"/>
        </w:rPr>
        <w:t xml:space="preserve"> </w:t>
      </w:r>
      <w:r>
        <w:rPr>
          <w:b/>
          <w:i w:val="0"/>
          <w:smallCaps w:val="0"/>
          <w:strike w:val="0"/>
          <w:sz w:val="20"/>
          <w:u w:val="single"/>
        </w:rPr>
        <w:t xml:space="preserve">nearly </w:t>
      </w:r>
      <w:r>
        <w:rPr>
          <w:b/>
          <w:i w:val="0"/>
          <w:smallCaps w:val="0"/>
          <w:strike w:val="0"/>
          <w:sz w:val="20"/>
          <w:highlight w:val="cyan"/>
          <w:u w:val="single"/>
        </w:rPr>
        <w:t>3,000</w:t>
      </w:r>
      <w:r>
        <w:rPr>
          <w:b w:val="0"/>
          <w:i w:val="0"/>
          <w:smallCaps w:val="0"/>
          <w:strike w:val="0"/>
          <w:sz w:val="20"/>
          <w:highlight w:val="cyan"/>
          <w:u w:val="single"/>
        </w:rPr>
        <w:t xml:space="preserve"> trade restrictions were imposed</w:t>
      </w:r>
      <w:r>
        <w:rPr>
          <w:b w:val="0"/>
          <w:i w:val="0"/>
          <w:smallCaps w:val="0"/>
          <w:strike w:val="0"/>
          <w:sz w:val="16"/>
          <w:u w:val="none"/>
        </w:rPr>
        <w:t xml:space="preserve"> across the world—roughly </w:t>
      </w:r>
      <w:r>
        <w:rPr>
          <w:b w:val="0"/>
          <w:i w:val="0"/>
          <w:smallCaps w:val="0"/>
          <w:strike w:val="0"/>
          <w:sz w:val="20"/>
          <w:u w:val="single"/>
        </w:rPr>
        <w:t>five times the number in 2015</w:t>
      </w:r>
      <w:r>
        <w:rPr>
          <w:b w:val="0"/>
          <w:i w:val="0"/>
          <w:smallCaps w:val="0"/>
          <w:strike w:val="0"/>
          <w:sz w:val="16"/>
          <w:u w:val="none"/>
        </w:rPr>
        <w:t xml:space="preserve">. Not surprisingly, the protracted weakness in trade has coincided with a pronounced slowdown in investment. </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