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PTAB’s lower standards cause duplicative litigation, which significantly undermines the certainty of pharma patents. That decks pharma innovation and funding. The plan is key to invigorate R&amp;D investment. </w:t>
      </w:r>
    </w:p>
    <w:p>
      <w:pPr>
        <w:spacing w:after="80"/>
      </w:pPr>
      <w:r>
        <w:rPr>
          <w:b w:val="0"/>
          <w:i w:val="0"/>
          <w:smallCaps w:val="0"/>
          <w:strike w:val="0"/>
          <w:sz w:val="22"/>
          <w:u w:val="none"/>
        </w:rPr>
        <w:t xml:space="preserve">Joanna </w:t>
      </w:r>
      <w:r>
        <w:rPr>
          <w:b/>
          <w:i w:val="0"/>
          <w:smallCaps w:val="0"/>
          <w:strike w:val="0"/>
          <w:sz w:val="26"/>
          <w:u w:val="none"/>
        </w:rPr>
        <w:t>Shepherd</w:t>
      </w:r>
      <w:r>
        <w:rPr>
          <w:b w:val="0"/>
          <w:i w:val="0"/>
          <w:smallCaps w:val="0"/>
          <w:strike w:val="0"/>
          <w:sz w:val="22"/>
          <w:u w:val="none"/>
        </w:rPr>
        <w:t xml:space="preserve"> 3-8-20</w:t>
      </w:r>
      <w:r>
        <w:rPr>
          <w:b/>
          <w:i w:val="0"/>
          <w:smallCaps w:val="0"/>
          <w:strike w:val="0"/>
          <w:sz w:val="26"/>
          <w:u w:val="none"/>
        </w:rPr>
        <w:t>19</w:t>
      </w:r>
      <w:r>
        <w:rPr>
          <w:b w:val="0"/>
          <w:i w:val="0"/>
          <w:smallCaps w:val="0"/>
          <w:strike w:val="0"/>
          <w:sz w:val="22"/>
          <w:u w:val="none"/>
        </w:rPr>
        <w:t xml:space="preserve">. Joanna Shepherd is the Thomas Simmons Professor of Law at Emory University School of Law. She served as Vice Dean from 2020 - 2023 and again beginning in the summer of 2024. “Reducing Duplicative Patent Challenges in the Drug Industry,” Truth on the Market,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16"/>
          <w:u w:val="none"/>
        </w:rPr>
        <w:t xml:space="preserve">If the Federal Circuit agrees with the USPTO, patent challengers could be strongly deterred from bringing IPR proceedings because it would mean they couldn't reuse any arguments in district court. This deterrent effect would be especially strong for generic drug makers, who must prevail in district court in order to get approval for their Abbreviated New Drug Application from the FDA. Critics of the USPTO's position assert[3] that it will frustrate the AIA's purpose of facilitating generic competition. </w:t>
      </w:r>
      <w:r>
        <w:rPr>
          <w:b w:val="0"/>
          <w:i w:val="0"/>
          <w:smallCaps w:val="0"/>
          <w:strike w:val="0"/>
          <w:sz w:val="22"/>
          <w:u w:val="single"/>
        </w:rPr>
        <w:t>However, if the Federal Circuit adopts the position, it would also reduce the amount of duplicative litigation that plagues the pharmaceutical industry and threatens new drug innovation.</w:t>
      </w:r>
      <w:r>
        <w:rPr>
          <w:b w:val="0"/>
          <w:i w:val="0"/>
          <w:smallCaps w:val="0"/>
          <w:strike w:val="0"/>
          <w:sz w:val="16"/>
          <w:u w:val="none"/>
        </w:rPr>
        <w:t xml:space="preserve"> According to a 2017 analysis[4] of over </w:t>
      </w:r>
      <w:r>
        <w:rPr>
          <w:b/>
          <w:i w:val="0"/>
          <w:smallCaps w:val="0"/>
          <w:strike w:val="0"/>
          <w:sz w:val="22"/>
          <w:highlight w:val="cyan"/>
          <w:u w:val="single"/>
        </w:rPr>
        <w:t>6,500 IPR challenges</w:t>
      </w:r>
      <w:r>
        <w:rPr>
          <w:b/>
          <w:i w:val="0"/>
          <w:smallCaps w:val="0"/>
          <w:strike w:val="0"/>
          <w:sz w:val="22"/>
          <w:u w:val="single"/>
        </w:rPr>
        <w:t xml:space="preserve"> filed </w:t>
      </w:r>
      <w:r>
        <w:rPr>
          <w:b/>
          <w:i w:val="0"/>
          <w:smallCaps w:val="0"/>
          <w:strike w:val="0"/>
          <w:sz w:val="22"/>
          <w:highlight w:val="cyan"/>
          <w:u w:val="single"/>
        </w:rPr>
        <w:t>between 2012</w:t>
      </w:r>
      <w:r>
        <w:rPr>
          <w:b/>
          <w:i w:val="0"/>
          <w:smallCaps w:val="0"/>
          <w:strike w:val="0"/>
          <w:sz w:val="22"/>
          <w:u w:val="single"/>
        </w:rPr>
        <w:t xml:space="preserve"> and </w:t>
      </w:r>
      <w:r>
        <w:rPr>
          <w:b/>
          <w:i w:val="0"/>
          <w:smallCaps w:val="0"/>
          <w:strike w:val="0"/>
          <w:sz w:val="22"/>
          <w:highlight w:val="cyan"/>
          <w:u w:val="single"/>
        </w:rPr>
        <w:t>2017</w:t>
      </w:r>
      <w:r>
        <w:rPr>
          <w:b/>
          <w:i w:val="0"/>
          <w:smallCaps w:val="0"/>
          <w:strike w:val="0"/>
          <w:sz w:val="22"/>
          <w:u w:val="single"/>
        </w:rPr>
        <w:t xml:space="preserve">, approximately </w:t>
      </w:r>
      <w:r>
        <w:rPr>
          <w:b/>
          <w:i w:val="0"/>
          <w:smallCaps w:val="0"/>
          <w:strike w:val="0"/>
          <w:sz w:val="22"/>
          <w:highlight w:val="cyan"/>
          <w:u w:val="single"/>
        </w:rPr>
        <w:t xml:space="preserve">80% of IPR challenges were filed during </w:t>
      </w:r>
      <w:r>
        <w:rPr>
          <w:b/>
          <w:i w:val="0"/>
          <w:smallCaps w:val="0"/>
          <w:strike w:val="0"/>
          <w:sz w:val="22"/>
          <w:u w:val="single"/>
        </w:rPr>
        <w:t xml:space="preserve">an ongoing </w:t>
      </w:r>
      <w:r>
        <w:rPr>
          <w:b/>
          <w:i w:val="0"/>
          <w:smallCaps w:val="0"/>
          <w:strike w:val="0"/>
          <w:sz w:val="22"/>
          <w:highlight w:val="cyan"/>
          <w:u w:val="single"/>
        </w:rPr>
        <w:t>district court case</w:t>
      </w:r>
      <w:r>
        <w:rPr>
          <w:b/>
          <w:i w:val="0"/>
          <w:smallCaps w:val="0"/>
          <w:strike w:val="0"/>
          <w:sz w:val="22"/>
          <w:u w:val="single"/>
        </w:rPr>
        <w:t xml:space="preserve"> challenging the patent</w:t>
      </w:r>
      <w:r>
        <w:rPr>
          <w:b w:val="0"/>
          <w:i w:val="0"/>
          <w:smallCaps w:val="0"/>
          <w:strike w:val="0"/>
          <w:sz w:val="16"/>
          <w:u w:val="none"/>
        </w:rPr>
        <w:t xml:space="preserve">. </w:t>
      </w:r>
      <w:r>
        <w:rPr>
          <w:b w:val="0"/>
          <w:i w:val="0"/>
          <w:smallCaps w:val="0"/>
          <w:strike w:val="0"/>
          <w:sz w:val="22"/>
          <w:u w:val="single"/>
        </w:rPr>
        <w:t xml:space="preserve">This </w:t>
      </w:r>
      <w:r>
        <w:rPr>
          <w:b w:val="0"/>
          <w:i w:val="0"/>
          <w:smallCaps w:val="0"/>
          <w:strike w:val="0"/>
          <w:sz w:val="22"/>
          <w:highlight w:val="cyan"/>
          <w:u w:val="single"/>
        </w:rPr>
        <w:t>duplicative litigation</w:t>
      </w:r>
      <w:r>
        <w:rPr>
          <w:b w:val="0"/>
          <w:i w:val="0"/>
          <w:smallCaps w:val="0"/>
          <w:strike w:val="0"/>
          <w:sz w:val="22"/>
          <w:u w:val="single"/>
        </w:rPr>
        <w:t xml:space="preserve"> can </w:t>
      </w:r>
      <w:r>
        <w:rPr>
          <w:b w:val="0"/>
          <w:i w:val="0"/>
          <w:smallCaps w:val="0"/>
          <w:strike w:val="0"/>
          <w:sz w:val="22"/>
          <w:highlight w:val="cyan"/>
          <w:u w:val="single"/>
        </w:rPr>
        <w:t>increase costs</w:t>
      </w:r>
      <w:r>
        <w:rPr>
          <w:b w:val="0"/>
          <w:i w:val="0"/>
          <w:smallCaps w:val="0"/>
          <w:strike w:val="0"/>
          <w:sz w:val="22"/>
          <w:u w:val="single"/>
        </w:rPr>
        <w:t xml:space="preserve"> for both challengers and patent holders; the median cost[5] for an IPR proceeding that results in a final decision is $500,000 and the median cost for just filing an IPR petition is $100,000. </w:t>
      </w:r>
      <w:r>
        <w:rPr>
          <w:b/>
          <w:i w:val="0"/>
          <w:smallCaps w:val="0"/>
          <w:strike w:val="0"/>
          <w:sz w:val="22"/>
          <w:u w:val="single"/>
        </w:rPr>
        <w:t xml:space="preserve">Moreover, because of </w:t>
      </w:r>
      <w:r>
        <w:rPr>
          <w:b/>
          <w:i w:val="0"/>
          <w:smallCaps w:val="0"/>
          <w:strike w:val="0"/>
          <w:sz w:val="22"/>
          <w:highlight w:val="cyan"/>
          <w:u w:val="single"/>
        </w:rPr>
        <w:t>duplicative litigation</w:t>
      </w:r>
      <w:r>
        <w:rPr>
          <w:b/>
          <w:i w:val="0"/>
          <w:smallCaps w:val="0"/>
          <w:strike w:val="0"/>
          <w:sz w:val="22"/>
          <w:u w:val="single"/>
        </w:rPr>
        <w:t xml:space="preserve">, </w:t>
      </w:r>
      <w:r>
        <w:rPr>
          <w:b/>
          <w:i w:val="0"/>
          <w:smallCaps w:val="0"/>
          <w:strike w:val="0"/>
          <w:sz w:val="22"/>
          <w:highlight w:val="cyan"/>
          <w:u w:val="single"/>
        </w:rPr>
        <w:t>pharmaceutical patent holders</w:t>
      </w:r>
      <w:r>
        <w:rPr>
          <w:b/>
          <w:i w:val="0"/>
          <w:smallCaps w:val="0"/>
          <w:strike w:val="0"/>
          <w:sz w:val="22"/>
          <w:u w:val="single"/>
        </w:rPr>
        <w:t xml:space="preserve"> face </w:t>
      </w:r>
      <w:r>
        <w:rPr>
          <w:b/>
          <w:i w:val="0"/>
          <w:smallCaps w:val="0"/>
          <w:strike w:val="0"/>
          <w:sz w:val="22"/>
          <w:highlight w:val="cyan"/>
          <w:u w:val="single"/>
        </w:rPr>
        <w:t>persistent uncertainty</w:t>
      </w:r>
      <w:r>
        <w:rPr>
          <w:b/>
          <w:i w:val="0"/>
          <w:smallCaps w:val="0"/>
          <w:strike w:val="0"/>
          <w:sz w:val="22"/>
          <w:u w:val="single"/>
        </w:rPr>
        <w:t xml:space="preserve"> about the validity of their patents.</w:t>
      </w:r>
      <w:r>
        <w:rPr>
          <w:b w:val="0"/>
          <w:i w:val="0"/>
          <w:smallCaps w:val="0"/>
          <w:strike w:val="0"/>
          <w:sz w:val="16"/>
          <w:u w:val="none"/>
        </w:rPr>
        <w:t xml:space="preserve"> </w:t>
      </w:r>
      <w:r>
        <w:rPr>
          <w:b/>
          <w:i w:val="0"/>
          <w:smallCaps w:val="0"/>
          <w:strike w:val="0"/>
          <w:sz w:val="36"/>
          <w:highlight w:val="cyan"/>
          <w:u w:val="single"/>
        </w:rPr>
        <w:t xml:space="preserve">Uncertain patent rights </w:t>
      </w:r>
      <w:r>
        <w:rPr>
          <w:b/>
          <w:i w:val="0"/>
          <w:smallCaps w:val="0"/>
          <w:strike w:val="0"/>
          <w:sz w:val="36"/>
          <w:u w:val="single"/>
        </w:rPr>
        <w:t xml:space="preserve">will </w:t>
      </w:r>
      <w:r>
        <w:rPr>
          <w:b/>
          <w:i w:val="0"/>
          <w:smallCaps w:val="0"/>
          <w:strike w:val="0"/>
          <w:sz w:val="36"/>
          <w:highlight w:val="cyan"/>
          <w:u w:val="single"/>
        </w:rPr>
        <w:t>lead to less innovation</w:t>
      </w:r>
      <w:r>
        <w:rPr>
          <w:b/>
          <w:i w:val="0"/>
          <w:smallCaps w:val="0"/>
          <w:strike w:val="0"/>
          <w:sz w:val="36"/>
          <w:u w:val="single"/>
        </w:rPr>
        <w:t xml:space="preserve"> </w:t>
      </w:r>
      <w:r>
        <w:rPr>
          <w:b/>
          <w:i w:val="0"/>
          <w:smallCaps w:val="0"/>
          <w:strike w:val="0"/>
          <w:sz w:val="22"/>
          <w:highlight w:val="cyan"/>
          <w:u w:val="single"/>
        </w:rPr>
        <w:t>because</w:t>
      </w:r>
      <w:r>
        <w:rPr>
          <w:b/>
          <w:i w:val="0"/>
          <w:smallCaps w:val="0"/>
          <w:strike w:val="0"/>
          <w:sz w:val="22"/>
          <w:u w:val="single"/>
        </w:rPr>
        <w:t xml:space="preserve"> drug </w:t>
      </w:r>
      <w:r>
        <w:rPr>
          <w:b/>
          <w:i w:val="0"/>
          <w:smallCaps w:val="0"/>
          <w:strike w:val="0"/>
          <w:sz w:val="22"/>
          <w:highlight w:val="cyan"/>
          <w:u w:val="single"/>
        </w:rPr>
        <w:t>companies</w:t>
      </w:r>
      <w:r>
        <w:rPr>
          <w:b/>
          <w:i w:val="0"/>
          <w:smallCaps w:val="0"/>
          <w:strike w:val="0"/>
          <w:sz w:val="22"/>
          <w:u w:val="single"/>
        </w:rPr>
        <w:t xml:space="preserve"> </w:t>
      </w:r>
      <w:r>
        <w:rPr>
          <w:b/>
          <w:i w:val="0"/>
          <w:smallCaps w:val="0"/>
          <w:strike w:val="0"/>
          <w:sz w:val="22"/>
          <w:highlight w:val="cyan"/>
          <w:u w:val="single"/>
        </w:rPr>
        <w:t xml:space="preserve">will not spend </w:t>
      </w:r>
      <w:r>
        <w:rPr>
          <w:b/>
          <w:i w:val="0"/>
          <w:smallCaps w:val="0"/>
          <w:strike w:val="0"/>
          <w:sz w:val="22"/>
          <w:u w:val="single"/>
        </w:rPr>
        <w:t xml:space="preserve">the </w:t>
      </w:r>
      <w:r>
        <w:rPr>
          <w:b/>
          <w:i w:val="0"/>
          <w:smallCaps w:val="0"/>
          <w:strike w:val="0"/>
          <w:sz w:val="22"/>
          <w:highlight w:val="cyan"/>
          <w:u w:val="single"/>
        </w:rPr>
        <w:t xml:space="preserve">billions </w:t>
      </w:r>
      <w:r>
        <w:rPr>
          <w:b/>
          <w:i w:val="0"/>
          <w:smallCaps w:val="0"/>
          <w:strike w:val="0"/>
          <w:sz w:val="22"/>
          <w:u w:val="single"/>
        </w:rPr>
        <w:t xml:space="preserve">of dollars it typically costs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bring a new drug</w:t>
      </w:r>
      <w:r>
        <w:rPr>
          <w:b/>
          <w:i w:val="0"/>
          <w:smallCaps w:val="0"/>
          <w:strike w:val="0"/>
          <w:sz w:val="22"/>
          <w:u w:val="single"/>
        </w:rPr>
        <w:t xml:space="preserve"> to market </w:t>
      </w:r>
      <w:r>
        <w:rPr>
          <w:b/>
          <w:i w:val="0"/>
          <w:smallCaps w:val="0"/>
          <w:strike w:val="0"/>
          <w:sz w:val="22"/>
          <w:highlight w:val="cyan"/>
          <w:u w:val="single"/>
        </w:rPr>
        <w:t>when they cannot be certain</w:t>
      </w:r>
      <w:r>
        <w:rPr>
          <w:b/>
          <w:i w:val="0"/>
          <w:smallCaps w:val="0"/>
          <w:strike w:val="0"/>
          <w:sz w:val="22"/>
          <w:u w:val="single"/>
        </w:rPr>
        <w:t xml:space="preserve"> </w:t>
      </w:r>
      <w:r>
        <w:rPr>
          <w:b/>
          <w:i w:val="0"/>
          <w:smallCaps w:val="0"/>
          <w:strike w:val="0"/>
          <w:sz w:val="22"/>
          <w:highlight w:val="cyan"/>
          <w:u w:val="single"/>
        </w:rPr>
        <w:t>if</w:t>
      </w:r>
      <w:r>
        <w:rPr>
          <w:b/>
          <w:i w:val="0"/>
          <w:smallCaps w:val="0"/>
          <w:strike w:val="0"/>
          <w:sz w:val="22"/>
          <w:u w:val="single"/>
        </w:rPr>
        <w:t xml:space="preserve"> the </w:t>
      </w:r>
      <w:r>
        <w:rPr>
          <w:b/>
          <w:i w:val="0"/>
          <w:smallCaps w:val="0"/>
          <w:strike w:val="0"/>
          <w:sz w:val="22"/>
          <w:highlight w:val="cyan"/>
          <w:u w:val="single"/>
        </w:rPr>
        <w:t>patents</w:t>
      </w:r>
      <w:r>
        <w:rPr>
          <w:b/>
          <w:i w:val="0"/>
          <w:smallCaps w:val="0"/>
          <w:strike w:val="0"/>
          <w:sz w:val="22"/>
          <w:u w:val="single"/>
        </w:rPr>
        <w:t xml:space="preserve"> for that drug </w:t>
      </w:r>
      <w:r>
        <w:rPr>
          <w:b/>
          <w:i w:val="0"/>
          <w:smallCaps w:val="0"/>
          <w:strike w:val="0"/>
          <w:sz w:val="22"/>
          <w:highlight w:val="cyan"/>
          <w:u w:val="single"/>
        </w:rPr>
        <w:t>can withstand IPR proceedings</w:t>
      </w:r>
      <w:r>
        <w:rPr>
          <w:b/>
          <w:i w:val="0"/>
          <w:smallCaps w:val="0"/>
          <w:strike w:val="0"/>
          <w:sz w:val="22"/>
          <w:u w:val="single"/>
        </w:rPr>
        <w:t xml:space="preserve"> that are clearly stacked against them</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And if IPR causes drug innovation to decline, a significant body of research predicts that patients' health outcomes will suffer as a result</w:t>
      </w:r>
      <w:r>
        <w:rPr>
          <w:b w:val="0"/>
          <w:i w:val="0"/>
          <w:smallCaps w:val="0"/>
          <w:strike w:val="0"/>
          <w:sz w:val="16"/>
          <w:u w:val="none"/>
        </w:rPr>
        <w:t>.In addition, deterring IPR challenges would help to reestablish balance between drug patent owners and patent challengers. As I've previously discussed here[6] and here[7], the pro-challenger bias in IPR proceedings has led to significant deviation in patent invalidation rates under the two pathways</w:t>
      </w:r>
      <w:r>
        <w:rPr>
          <w:b w:val="0"/>
          <w:i w:val="0"/>
          <w:smallCaps w:val="0"/>
          <w:strike w:val="0"/>
          <w:sz w:val="22"/>
          <w:u w:val="single"/>
        </w:rPr>
        <w:t xml:space="preserve">; </w:t>
      </w:r>
      <w:r>
        <w:rPr>
          <w:b w:val="0"/>
          <w:i w:val="0"/>
          <w:smallCaps w:val="0"/>
          <w:strike w:val="0"/>
          <w:sz w:val="22"/>
          <w:highlight w:val="cyan"/>
          <w:u w:val="single"/>
        </w:rPr>
        <w:t>compared to district court</w:t>
      </w:r>
      <w:r>
        <w:rPr>
          <w:b w:val="0"/>
          <w:i w:val="0"/>
          <w:smallCaps w:val="0"/>
          <w:strike w:val="0"/>
          <w:sz w:val="22"/>
          <w:u w:val="single"/>
        </w:rPr>
        <w:t xml:space="preserve"> challenges, </w:t>
      </w:r>
      <w:r>
        <w:rPr>
          <w:b/>
          <w:i w:val="0"/>
          <w:smallCaps w:val="0"/>
          <w:strike w:val="0"/>
          <w:sz w:val="22"/>
          <w:highlight w:val="cyan"/>
          <w:u w:val="single"/>
        </w:rPr>
        <w:t>patents are twice as likely to be found invalid in IPR challenges</w:t>
      </w:r>
      <w:r>
        <w:rPr>
          <w:b/>
          <w:i w:val="0"/>
          <w:smallCaps w:val="0"/>
          <w:strike w:val="0"/>
          <w:sz w:val="22"/>
          <w:u w:val="single"/>
        </w:rPr>
        <w:t>.</w:t>
      </w:r>
      <w:r>
        <w:rPr>
          <w:b w:val="0"/>
          <w:i w:val="0"/>
          <w:smallCaps w:val="0"/>
          <w:strike w:val="0"/>
          <w:sz w:val="22"/>
          <w:u w:val="single"/>
        </w:rPr>
        <w:t xml:space="preserve"> The </w:t>
      </w:r>
      <w:r>
        <w:rPr>
          <w:b w:val="0"/>
          <w:i w:val="0"/>
          <w:smallCaps w:val="0"/>
          <w:strike w:val="0"/>
          <w:sz w:val="22"/>
          <w:highlight w:val="cyan"/>
          <w:u w:val="single"/>
        </w:rPr>
        <w:t>challenger</w:t>
      </w:r>
      <w:r>
        <w:rPr>
          <w:b w:val="0"/>
          <w:i w:val="0"/>
          <w:smallCaps w:val="0"/>
          <w:strike w:val="0"/>
          <w:sz w:val="22"/>
          <w:u w:val="single"/>
        </w:rPr>
        <w:t xml:space="preserve"> is </w:t>
      </w:r>
      <w:r>
        <w:rPr>
          <w:b w:val="0"/>
          <w:i w:val="0"/>
          <w:smallCaps w:val="0"/>
          <w:strike w:val="0"/>
          <w:sz w:val="22"/>
          <w:highlight w:val="cyan"/>
          <w:u w:val="single"/>
        </w:rPr>
        <w:t>more likely to prevail in IPR</w:t>
      </w:r>
      <w:r>
        <w:rPr>
          <w:b w:val="0"/>
          <w:i w:val="0"/>
          <w:smallCaps w:val="0"/>
          <w:strike w:val="0"/>
          <w:sz w:val="22"/>
          <w:u w:val="single"/>
        </w:rPr>
        <w:t xml:space="preserve"> proceedings </w:t>
      </w:r>
      <w:r>
        <w:rPr>
          <w:b w:val="0"/>
          <w:i w:val="0"/>
          <w:smallCaps w:val="0"/>
          <w:strike w:val="0"/>
          <w:sz w:val="22"/>
          <w:highlight w:val="cyan"/>
          <w:u w:val="single"/>
        </w:rPr>
        <w:t>because</w:t>
      </w:r>
      <w:r>
        <w:rPr>
          <w:b w:val="0"/>
          <w:i w:val="0"/>
          <w:smallCaps w:val="0"/>
          <w:strike w:val="0"/>
          <w:sz w:val="22"/>
          <w:u w:val="single"/>
        </w:rPr>
        <w:t xml:space="preserve"> the Patent Trial and Appeal Board (</w:t>
      </w:r>
      <w:r>
        <w:rPr>
          <w:b w:val="0"/>
          <w:i w:val="0"/>
          <w:smallCaps w:val="0"/>
          <w:strike w:val="0"/>
          <w:sz w:val="22"/>
          <w:highlight w:val="cyan"/>
          <w:u w:val="single"/>
        </w:rPr>
        <w:t>PTAB</w:t>
      </w:r>
      <w:r>
        <w:rPr>
          <w:b w:val="0"/>
          <w:i w:val="0"/>
          <w:smallCaps w:val="0"/>
          <w:strike w:val="0"/>
          <w:sz w:val="22"/>
          <w:u w:val="single"/>
        </w:rPr>
        <w:t xml:space="preserve">) </w:t>
      </w:r>
      <w:r>
        <w:rPr>
          <w:b/>
          <w:i w:val="0"/>
          <w:smallCaps w:val="0"/>
          <w:strike w:val="0"/>
          <w:sz w:val="22"/>
          <w:highlight w:val="cyan"/>
          <w:u w:val="single"/>
        </w:rPr>
        <w:t>applies alower standard of proof</w:t>
      </w:r>
      <w:r>
        <w:rPr>
          <w:b w:val="0"/>
          <w:i w:val="0"/>
          <w:smallCaps w:val="0"/>
          <w:strike w:val="0"/>
          <w:sz w:val="22"/>
          <w:u w:val="single"/>
        </w:rPr>
        <w:t xml:space="preserve">[8]for invalidity in IPR proceedings </w:t>
      </w:r>
      <w:r>
        <w:rPr>
          <w:b w:val="0"/>
          <w:i w:val="0"/>
          <w:smallCaps w:val="0"/>
          <w:strike w:val="0"/>
          <w:sz w:val="22"/>
          <w:highlight w:val="cyan"/>
          <w:u w:val="single"/>
        </w:rPr>
        <w:t>than</w:t>
      </w:r>
      <w:r>
        <w:rPr>
          <w:b w:val="0"/>
          <w:i w:val="0"/>
          <w:smallCaps w:val="0"/>
          <w:strike w:val="0"/>
          <w:sz w:val="22"/>
          <w:u w:val="single"/>
        </w:rPr>
        <w:t xml:space="preserve"> do federal </w:t>
      </w:r>
      <w:r>
        <w:rPr>
          <w:b w:val="0"/>
          <w:i w:val="0"/>
          <w:smallCaps w:val="0"/>
          <w:strike w:val="0"/>
          <w:sz w:val="22"/>
          <w:highlight w:val="cyan"/>
          <w:u w:val="single"/>
        </w:rPr>
        <w:t>courts</w:t>
      </w:r>
      <w:r>
        <w:rPr>
          <w:b w:val="0"/>
          <w:i w:val="0"/>
          <w:smallCaps w:val="0"/>
          <w:strike w:val="0"/>
          <w:sz w:val="16"/>
          <w:u w:val="none"/>
        </w:rPr>
        <w:t xml:space="preserve">. Furthermore, if the challenger prevails in the IPR proceedings, the </w:t>
      </w:r>
      <w:r>
        <w:rPr>
          <w:b w:val="0"/>
          <w:i w:val="0"/>
          <w:smallCaps w:val="0"/>
          <w:strike w:val="0"/>
          <w:sz w:val="22"/>
          <w:highlight w:val="cyan"/>
          <w:u w:val="single"/>
        </w:rPr>
        <w:t>PTAB's</w:t>
      </w:r>
      <w:r>
        <w:rPr>
          <w:b w:val="0"/>
          <w:i w:val="0"/>
          <w:smallCaps w:val="0"/>
          <w:strike w:val="0"/>
          <w:sz w:val="22"/>
          <w:u w:val="single"/>
        </w:rPr>
        <w:t xml:space="preserve"> </w:t>
      </w:r>
      <w:r>
        <w:rPr>
          <w:b w:val="0"/>
          <w:i w:val="0"/>
          <w:smallCaps w:val="0"/>
          <w:strike w:val="0"/>
          <w:sz w:val="22"/>
          <w:highlight w:val="cyan"/>
          <w:u w:val="single"/>
        </w:rPr>
        <w:t>decision</w:t>
      </w:r>
      <w:r>
        <w:rPr>
          <w:b w:val="0"/>
          <w:i w:val="0"/>
          <w:smallCaps w:val="0"/>
          <w:strike w:val="0"/>
          <w:sz w:val="22"/>
          <w:u w:val="single"/>
        </w:rPr>
        <w:t xml:space="preserve"> to invalidate a patent can </w:t>
      </w:r>
      <w:r>
        <w:rPr>
          <w:b w:val="0"/>
          <w:i w:val="0"/>
          <w:smallCaps w:val="0"/>
          <w:strike w:val="0"/>
          <w:sz w:val="22"/>
          <w:highlight w:val="cyan"/>
          <w:u w:val="single"/>
        </w:rPr>
        <w:t xml:space="preserve">often 'undo' a prior </w:t>
      </w:r>
      <w:r>
        <w:rPr>
          <w:b w:val="0"/>
          <w:i w:val="0"/>
          <w:smallCaps w:val="0"/>
          <w:strike w:val="0"/>
          <w:sz w:val="22"/>
          <w:u w:val="single"/>
        </w:rPr>
        <w:t xml:space="preserve">district </w:t>
      </w:r>
      <w:r>
        <w:rPr>
          <w:b w:val="0"/>
          <w:i w:val="0"/>
          <w:smallCaps w:val="0"/>
          <w:strike w:val="0"/>
          <w:sz w:val="22"/>
          <w:highlight w:val="cyan"/>
          <w:u w:val="single"/>
        </w:rPr>
        <w:t>court decision</w:t>
      </w:r>
      <w:r>
        <w:rPr>
          <w:b w:val="0"/>
          <w:i w:val="0"/>
          <w:smallCaps w:val="0"/>
          <w:strike w:val="0"/>
          <w:sz w:val="22"/>
          <w:u w:val="single"/>
        </w:rPr>
        <w:t xml:space="preserve"> in favor of the patent holder.</w:t>
      </w:r>
      <w:r>
        <w:rPr>
          <w:b w:val="0"/>
          <w:i w:val="0"/>
          <w:smallCaps w:val="0"/>
          <w:strike w:val="0"/>
          <w:sz w:val="16"/>
          <w:u w:val="none"/>
        </w:rPr>
        <w:t xml:space="preserve"> Further, although both district court judgments and PTAB decisions are appealable to the Federal Circuit, the </w:t>
      </w:r>
      <w:r>
        <w:rPr>
          <w:b w:val="0"/>
          <w:i w:val="0"/>
          <w:smallCaps w:val="0"/>
          <w:strike w:val="0"/>
          <w:sz w:val="22"/>
          <w:u w:val="single"/>
        </w:rPr>
        <w:t>court applies a more deferential standard of review to PTAB decisions, increasing the likelihood that they will be upheld compared to the district court decision</w:t>
      </w:r>
      <w:r>
        <w:rPr>
          <w:b w:val="0"/>
          <w:i w:val="0"/>
          <w:smallCaps w:val="0"/>
          <w:strike w:val="0"/>
          <w:sz w:val="16"/>
          <w:u w:val="none"/>
        </w:rPr>
        <w:t xml:space="preserve">. </w:t>
      </w:r>
      <w:r>
        <w:rPr>
          <w:b/>
          <w:i w:val="0"/>
          <w:smallCaps w:val="0"/>
          <w:strike w:val="0"/>
          <w:sz w:val="22"/>
          <w:u w:val="single"/>
        </w:rPr>
        <w:t xml:space="preserve">However, the </w:t>
      </w:r>
      <w:r>
        <w:rPr>
          <w:b/>
          <w:i w:val="0"/>
          <w:smallCaps w:val="0"/>
          <w:strike w:val="0"/>
          <w:sz w:val="22"/>
          <w:highlight w:val="cyan"/>
          <w:u w:val="single"/>
        </w:rPr>
        <w:t>USPTO acknowledges that its position</w:t>
      </w:r>
      <w:r>
        <w:rPr>
          <w:b/>
          <w:i w:val="0"/>
          <w:smallCaps w:val="0"/>
          <w:strike w:val="0"/>
          <w:sz w:val="22"/>
          <w:u w:val="single"/>
        </w:rPr>
        <w:t xml:space="preserve"> is </w:t>
      </w:r>
      <w:r>
        <w:rPr>
          <w:b/>
          <w:i w:val="0"/>
          <w:smallCaps w:val="0"/>
          <w:strike w:val="0"/>
          <w:sz w:val="22"/>
          <w:highlight w:val="cyan"/>
          <w:u w:val="single"/>
        </w:rPr>
        <w:t>counterintuitive</w:t>
      </w:r>
      <w:r>
        <w:rPr>
          <w:b/>
          <w:i w:val="0"/>
          <w:smallCaps w:val="0"/>
          <w:strike w:val="0"/>
          <w:sz w:val="22"/>
          <w:u w:val="single"/>
        </w:rPr>
        <w:t xml:space="preserve"> because it means that a </w:t>
      </w:r>
      <w:r>
        <w:rPr>
          <w:b/>
          <w:i w:val="0"/>
          <w:smallCaps w:val="0"/>
          <w:strike w:val="0"/>
          <w:sz w:val="22"/>
          <w:highlight w:val="cyan"/>
          <w:u w:val="single"/>
        </w:rPr>
        <w:t>court could not consider invalidity</w:t>
      </w:r>
      <w:r>
        <w:rPr>
          <w:b/>
          <w:i w:val="0"/>
          <w:smallCaps w:val="0"/>
          <w:strike w:val="0"/>
          <w:sz w:val="22"/>
          <w:u w:val="single"/>
        </w:rPr>
        <w:t xml:space="preserve"> </w:t>
      </w:r>
      <w:r>
        <w:rPr>
          <w:b/>
          <w:i w:val="0"/>
          <w:smallCaps w:val="0"/>
          <w:strike w:val="0"/>
          <w:sz w:val="22"/>
          <w:highlight w:val="cyan"/>
          <w:u w:val="single"/>
        </w:rPr>
        <w:t xml:space="preserve">arguments that </w:t>
      </w:r>
      <w:r>
        <w:rPr>
          <w:b/>
          <w:i w:val="0"/>
          <w:smallCaps w:val="0"/>
          <w:strike w:val="0"/>
          <w:sz w:val="22"/>
          <w:u w:val="single"/>
        </w:rPr>
        <w:t xml:space="preserve">the </w:t>
      </w:r>
      <w:r>
        <w:rPr>
          <w:b/>
          <w:i w:val="0"/>
          <w:smallCaps w:val="0"/>
          <w:strike w:val="0"/>
          <w:sz w:val="22"/>
          <w:highlight w:val="cyan"/>
          <w:u w:val="single"/>
        </w:rPr>
        <w:t>PTAB found persuasive</w:t>
      </w:r>
      <w:r>
        <w:rPr>
          <w:b w:val="0"/>
          <w:i w:val="0"/>
          <w:smallCaps w:val="0"/>
          <w:strike w:val="0"/>
          <w:sz w:val="16"/>
          <w:u w:val="none"/>
        </w:rPr>
        <w:t xml:space="preserve">. It is unclear whether the Federal Circuit will refuse to adopt this counterintuitive position or whether Congress will amend the AIA to limit estoppel to failed invalidity claims. As a result, a </w:t>
      </w:r>
      <w:r>
        <w:rPr>
          <w:b w:val="0"/>
          <w:i w:val="0"/>
          <w:smallCaps w:val="0"/>
          <w:strike w:val="0"/>
          <w:sz w:val="22"/>
          <w:highlight w:val="cyan"/>
          <w:u w:val="single"/>
        </w:rPr>
        <w:t>better</w:t>
      </w:r>
      <w:r>
        <w:rPr>
          <w:b w:val="0"/>
          <w:i w:val="0"/>
          <w:smallCaps w:val="0"/>
          <w:strike w:val="0"/>
          <w:sz w:val="22"/>
          <w:u w:val="single"/>
        </w:rPr>
        <w:t xml:space="preserve"> and more permanent way to </w:t>
      </w:r>
      <w:r>
        <w:rPr>
          <w:b w:val="0"/>
          <w:i w:val="0"/>
          <w:smallCaps w:val="0"/>
          <w:strike w:val="0"/>
          <w:sz w:val="22"/>
          <w:highlight w:val="cyan"/>
          <w:u w:val="single"/>
        </w:rPr>
        <w:t>eliminate duplicative litigation</w:t>
      </w:r>
      <w:r>
        <w:rPr>
          <w:b w:val="0"/>
          <w:i w:val="0"/>
          <w:smallCaps w:val="0"/>
          <w:strike w:val="0"/>
          <w:sz w:val="16"/>
          <w:u w:val="none"/>
        </w:rPr>
        <w:t xml:space="preserve"> would be for Congress to enact the Hatch-Waxman Integrity Act of 2019[9] (HWIA). The HWIA was introduced by Senator Thom Tillis in the Senate and Congressman Bill Flores In the House, and proposed in the last Congress by Senator Orrin Hatch. The HWIA </w:t>
      </w:r>
      <w:r>
        <w:rPr>
          <w:b w:val="0"/>
          <w:i w:val="0"/>
          <w:smallCaps w:val="0"/>
          <w:strike w:val="0"/>
          <w:sz w:val="22"/>
          <w:highlight w:val="cyan"/>
          <w:u w:val="single"/>
        </w:rPr>
        <w:t>eliminates</w:t>
      </w:r>
      <w:r>
        <w:rPr>
          <w:b w:val="0"/>
          <w:i w:val="0"/>
          <w:smallCaps w:val="0"/>
          <w:strike w:val="0"/>
          <w:sz w:val="22"/>
          <w:u w:val="single"/>
        </w:rPr>
        <w:t xml:space="preserve"> the </w:t>
      </w:r>
      <w:r>
        <w:rPr>
          <w:b w:val="0"/>
          <w:i w:val="0"/>
          <w:smallCaps w:val="0"/>
          <w:strike w:val="0"/>
          <w:sz w:val="22"/>
          <w:highlight w:val="cyan"/>
          <w:u w:val="single"/>
        </w:rPr>
        <w:t>ability</w:t>
      </w:r>
      <w:r>
        <w:rPr>
          <w:b w:val="0"/>
          <w:i w:val="0"/>
          <w:smallCaps w:val="0"/>
          <w:strike w:val="0"/>
          <w:sz w:val="22"/>
          <w:u w:val="single"/>
        </w:rPr>
        <w:t xml:space="preserve"> of drug patent </w:t>
      </w:r>
      <w:r>
        <w:rPr>
          <w:b w:val="0"/>
          <w:i w:val="0"/>
          <w:smallCaps w:val="0"/>
          <w:strike w:val="0"/>
          <w:sz w:val="22"/>
          <w:highlight w:val="cyan"/>
          <w:u w:val="single"/>
        </w:rPr>
        <w:t>challengers to file duplicative claims</w:t>
      </w:r>
      <w:r>
        <w:rPr>
          <w:b w:val="0"/>
          <w:i w:val="0"/>
          <w:smallCaps w:val="0"/>
          <w:strike w:val="0"/>
          <w:sz w:val="22"/>
          <w:u w:val="single"/>
        </w:rPr>
        <w:t xml:space="preserve"> in both federal court and IPR proceedings. </w:t>
      </w:r>
      <w:r>
        <w:rPr>
          <w:b w:val="0"/>
          <w:i w:val="0"/>
          <w:smallCaps w:val="0"/>
          <w:strike w:val="0"/>
          <w:sz w:val="16"/>
          <w:u w:val="none"/>
        </w:rPr>
        <w:t xml:space="preserve">Instead, they must choose between either district court litigation (which saves considerable costs by allowing generics to rely on the brand company's safety and efficacy studies for FDA approval) and IPR proceedings (which are faster and provide certain pro-challenger provisions). Thus, the HWIA would reduce duplicative litigation that increases costs and uncertainty for drug patent owners. This will </w:t>
      </w:r>
      <w:r>
        <w:rPr>
          <w:b w:val="0"/>
          <w:i w:val="0"/>
          <w:smallCaps w:val="0"/>
          <w:strike w:val="0"/>
          <w:sz w:val="22"/>
          <w:highlight w:val="cyan"/>
          <w:u w:val="single"/>
        </w:rPr>
        <w:t>ensure</w:t>
      </w:r>
      <w:r>
        <w:rPr>
          <w:b w:val="0"/>
          <w:i w:val="0"/>
          <w:smallCaps w:val="0"/>
          <w:strike w:val="0"/>
          <w:sz w:val="22"/>
          <w:u w:val="single"/>
        </w:rPr>
        <w:t xml:space="preserve"> that patent </w:t>
      </w:r>
      <w:r>
        <w:rPr>
          <w:b w:val="0"/>
          <w:i w:val="0"/>
          <w:smallCaps w:val="0"/>
          <w:strike w:val="0"/>
          <w:sz w:val="22"/>
          <w:highlight w:val="cyan"/>
          <w:u w:val="single"/>
        </w:rPr>
        <w:t>owners achieve clarity on the validity</w:t>
      </w:r>
      <w:r>
        <w:rPr>
          <w:b w:val="0"/>
          <w:i w:val="0"/>
          <w:smallCaps w:val="0"/>
          <w:strike w:val="0"/>
          <w:sz w:val="22"/>
          <w:u w:val="single"/>
        </w:rPr>
        <w:t xml:space="preserve"> of their patents, which will </w:t>
      </w:r>
      <w:r>
        <w:rPr>
          <w:b w:val="0"/>
          <w:i w:val="0"/>
          <w:smallCaps w:val="0"/>
          <w:strike w:val="0"/>
          <w:sz w:val="22"/>
          <w:highlight w:val="cyan"/>
          <w:u w:val="single"/>
        </w:rPr>
        <w:t>spur new drug innovation</w:t>
      </w:r>
      <w:r>
        <w:rPr>
          <w:b w:val="0"/>
          <w:i w:val="0"/>
          <w:smallCaps w:val="0"/>
          <w:strike w:val="0"/>
          <w:sz w:val="22"/>
          <w:u w:val="single"/>
        </w:rPr>
        <w:t xml:space="preserve"> and ensure that consumers continue to have access to life-improving drugs.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