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Empirics prove. Noven Pharmaceuticals won the case in district courts, but lost because of inter partes review under PTAB with a lower burden. The choice of the Circuit Court to uphold the PTAB’s decision proves that patent strength is unreliable for big pharma. </w:t>
      </w:r>
    </w:p>
    <w:p>
      <w:pPr>
        <w:spacing w:after="80"/>
      </w:pPr>
      <w:r>
        <w:rPr>
          <w:b/>
          <w:i w:val="0"/>
          <w:smallCaps w:val="0"/>
          <w:strike w:val="0"/>
          <w:sz w:val="26"/>
          <w:u w:val="none"/>
        </w:rPr>
        <w:t>McDermott Will &amp; Emery</w:t>
      </w:r>
      <w:r>
        <w:rPr>
          <w:b w:val="0"/>
          <w:i w:val="0"/>
          <w:smallCaps w:val="0"/>
          <w:strike w:val="0"/>
          <w:sz w:val="22"/>
          <w:u w:val="none"/>
        </w:rPr>
        <w:t xml:space="preserve"> 5-30-20</w:t>
      </w:r>
      <w:r>
        <w:rPr>
          <w:b/>
          <w:i w:val="0"/>
          <w:smallCaps w:val="0"/>
          <w:strike w:val="0"/>
          <w:sz w:val="26"/>
          <w:u w:val="none"/>
        </w:rPr>
        <w:t>17</w:t>
      </w:r>
      <w:r>
        <w:rPr>
          <w:b w:val="0"/>
          <w:i w:val="0"/>
          <w:smallCaps w:val="0"/>
          <w:strike w:val="0"/>
          <w:sz w:val="22"/>
          <w:u w:val="none"/>
        </w:rPr>
        <w:t xml:space="preserve">. McDermott Will &amp; Emery partners with leaders around the world to fuel missions, knock down barriers and shape markets. “Previous District Court Ruling on Obviousness Does Not Bind PTAB,” The National Law Review,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r>
        <w:rPr>
          <w:b w:val="0"/>
          <w:i w:val="0"/>
          <w:smallCaps w:val="0"/>
          <w:strike w:val="0"/>
          <w:sz w:val="22"/>
          <w:u w:val="none"/>
        </w:rPr>
        <w:t xml:space="preserve"> </w:t>
      </w:r>
    </w:p>
    <w:p>
      <w:pPr>
        <w:spacing w:after="60"/>
      </w:pPr>
      <w:r>
        <w:rPr>
          <w:b w:val="0"/>
          <w:i w:val="0"/>
          <w:smallCaps w:val="0"/>
          <w:strike w:val="0"/>
          <w:sz w:val="16"/>
          <w:u w:val="none"/>
        </w:rPr>
        <w:t xml:space="preserve">v. </w:t>
      </w:r>
      <w:r>
        <w:rPr>
          <w:b w:val="0"/>
          <w:i w:val="0"/>
          <w:smallCaps w:val="0"/>
          <w:strike w:val="0"/>
          <w:sz w:val="22"/>
          <w:highlight w:val="cyan"/>
          <w:u w:val="single"/>
        </w:rPr>
        <w:t>Noven Pharmaceuticals</w:t>
      </w:r>
      <w:r>
        <w:rPr>
          <w:b w:val="0"/>
          <w:i w:val="0"/>
          <w:smallCaps w:val="0"/>
          <w:strike w:val="0"/>
          <w:sz w:val="22"/>
          <w:u w:val="single"/>
        </w:rPr>
        <w:t xml:space="preserve"> Inc., Case Nos. 16-1678; -1679</w:t>
      </w:r>
      <w:r>
        <w:rPr>
          <w:b w:val="0"/>
          <w:i w:val="0"/>
          <w:smallCaps w:val="0"/>
          <w:strike w:val="0"/>
          <w:sz w:val="16"/>
          <w:u w:val="none"/>
        </w:rPr>
        <w:t xml:space="preserve"> (Fed. Cir., Apr. 4, 2017) (Wallach J). Novartis AG owns two patents for a transdermal drug patch containing rivastigmine. </w:t>
      </w:r>
      <w:r>
        <w:rPr>
          <w:b w:val="0"/>
          <w:i w:val="0"/>
          <w:smallCaps w:val="0"/>
          <w:strike w:val="0"/>
          <w:sz w:val="22"/>
          <w:u w:val="single"/>
        </w:rPr>
        <w:t xml:space="preserve">The </w:t>
      </w:r>
      <w:r>
        <w:rPr>
          <w:b w:val="0"/>
          <w:i w:val="0"/>
          <w:smallCaps w:val="0"/>
          <w:strike w:val="0"/>
          <w:sz w:val="22"/>
          <w:highlight w:val="cyan"/>
          <w:u w:val="single"/>
        </w:rPr>
        <w:t>patents</w:t>
      </w:r>
      <w:r>
        <w:rPr>
          <w:b w:val="0"/>
          <w:i w:val="0"/>
          <w:smallCaps w:val="0"/>
          <w:strike w:val="0"/>
          <w:sz w:val="22"/>
          <w:u w:val="single"/>
        </w:rPr>
        <w:t xml:space="preserve"> were </w:t>
      </w:r>
      <w:r>
        <w:rPr>
          <w:b w:val="0"/>
          <w:i w:val="0"/>
          <w:smallCaps w:val="0"/>
          <w:strike w:val="0"/>
          <w:sz w:val="22"/>
          <w:highlight w:val="cyan"/>
          <w:u w:val="single"/>
        </w:rPr>
        <w:t>challenged</w:t>
      </w:r>
      <w:r>
        <w:rPr>
          <w:b w:val="0"/>
          <w:i w:val="0"/>
          <w:smallCaps w:val="0"/>
          <w:strike w:val="0"/>
          <w:sz w:val="22"/>
          <w:u w:val="single"/>
        </w:rPr>
        <w:t xml:space="preserve"> </w:t>
      </w:r>
      <w:r>
        <w:rPr>
          <w:b w:val="0"/>
          <w:i w:val="0"/>
          <w:smallCaps w:val="0"/>
          <w:strike w:val="0"/>
          <w:sz w:val="22"/>
          <w:highlight w:val="cyan"/>
          <w:u w:val="single"/>
        </w:rPr>
        <w:t>in inter partes review</w:t>
      </w:r>
      <w:r>
        <w:rPr>
          <w:b w:val="0"/>
          <w:i w:val="0"/>
          <w:smallCaps w:val="0"/>
          <w:strike w:val="0"/>
          <w:sz w:val="22"/>
          <w:u w:val="single"/>
        </w:rPr>
        <w:t xml:space="preserve"> (IPR), </w:t>
      </w:r>
      <w:r>
        <w:rPr>
          <w:b w:val="0"/>
          <w:i w:val="0"/>
          <w:smallCaps w:val="0"/>
          <w:strike w:val="0"/>
          <w:sz w:val="22"/>
          <w:highlight w:val="cyan"/>
          <w:u w:val="single"/>
        </w:rPr>
        <w:t>where</w:t>
      </w:r>
      <w:r>
        <w:rPr>
          <w:b w:val="0"/>
          <w:i w:val="0"/>
          <w:smallCaps w:val="0"/>
          <w:strike w:val="0"/>
          <w:sz w:val="22"/>
          <w:u w:val="single"/>
        </w:rPr>
        <w:t xml:space="preserve"> the </w:t>
      </w:r>
      <w:r>
        <w:rPr>
          <w:b w:val="0"/>
          <w:i w:val="0"/>
          <w:smallCaps w:val="0"/>
          <w:strike w:val="0"/>
          <w:sz w:val="22"/>
          <w:highlight w:val="cyan"/>
          <w:u w:val="single"/>
        </w:rPr>
        <w:t>PTAB</w:t>
      </w:r>
      <w:r>
        <w:rPr>
          <w:b w:val="0"/>
          <w:i w:val="0"/>
          <w:smallCaps w:val="0"/>
          <w:strike w:val="0"/>
          <w:sz w:val="22"/>
          <w:u w:val="single"/>
        </w:rPr>
        <w:t xml:space="preserve"> </w:t>
      </w:r>
      <w:r>
        <w:rPr>
          <w:b w:val="0"/>
          <w:i w:val="0"/>
          <w:smallCaps w:val="0"/>
          <w:strike w:val="0"/>
          <w:sz w:val="22"/>
          <w:highlight w:val="cyan"/>
          <w:u w:val="single"/>
        </w:rPr>
        <w:t>found</w:t>
      </w:r>
      <w:r>
        <w:rPr>
          <w:b w:val="0"/>
          <w:i w:val="0"/>
          <w:smallCaps w:val="0"/>
          <w:strike w:val="0"/>
          <w:sz w:val="22"/>
          <w:u w:val="single"/>
        </w:rPr>
        <w:t xml:space="preserve"> the challenged </w:t>
      </w:r>
      <w:r>
        <w:rPr>
          <w:b w:val="0"/>
          <w:i w:val="0"/>
          <w:smallCaps w:val="0"/>
          <w:strike w:val="0"/>
          <w:sz w:val="22"/>
          <w:highlight w:val="cyan"/>
          <w:u w:val="single"/>
        </w:rPr>
        <w:t>claims unpatentable</w:t>
      </w:r>
      <w:r>
        <w:rPr>
          <w:b w:val="0"/>
          <w:i w:val="0"/>
          <w:smallCaps w:val="0"/>
          <w:strike w:val="0"/>
          <w:sz w:val="22"/>
          <w:u w:val="single"/>
        </w:rPr>
        <w:t xml:space="preserve"> as obvious under § 103.</w:t>
      </w:r>
      <w:r>
        <w:rPr>
          <w:b w:val="0"/>
          <w:i w:val="0"/>
          <w:smallCaps w:val="0"/>
          <w:strike w:val="0"/>
          <w:sz w:val="16"/>
          <w:u w:val="none"/>
        </w:rPr>
        <w:t xml:space="preserve"> By contrast, </w:t>
      </w:r>
      <w:r>
        <w:rPr>
          <w:b/>
          <w:i w:val="0"/>
          <w:smallCaps w:val="0"/>
          <w:strike w:val="0"/>
          <w:sz w:val="22"/>
          <w:highlight w:val="cyan"/>
          <w:u w:val="single"/>
        </w:rPr>
        <w:t>in</w:t>
      </w:r>
      <w:r>
        <w:rPr>
          <w:b/>
          <w:i w:val="0"/>
          <w:smallCaps w:val="0"/>
          <w:strike w:val="0"/>
          <w:sz w:val="22"/>
          <w:u w:val="single"/>
        </w:rPr>
        <w:t xml:space="preserve"> a </w:t>
      </w:r>
      <w:r>
        <w:rPr>
          <w:b/>
          <w:i w:val="0"/>
          <w:smallCaps w:val="0"/>
          <w:strike w:val="0"/>
          <w:sz w:val="22"/>
          <w:highlight w:val="cyan"/>
          <w:u w:val="single"/>
        </w:rPr>
        <w:t>concurrent litigation</w:t>
      </w:r>
      <w:r>
        <w:rPr>
          <w:b/>
          <w:i w:val="0"/>
          <w:smallCaps w:val="0"/>
          <w:strike w:val="0"/>
          <w:sz w:val="22"/>
          <w:u w:val="single"/>
        </w:rPr>
        <w:t xml:space="preserve">, a district </w:t>
      </w:r>
      <w:r>
        <w:rPr>
          <w:b/>
          <w:i w:val="0"/>
          <w:smallCaps w:val="0"/>
          <w:strike w:val="0"/>
          <w:sz w:val="22"/>
          <w:highlight w:val="cyan"/>
          <w:u w:val="single"/>
        </w:rPr>
        <w:t>court</w:t>
      </w:r>
      <w:r>
        <w:rPr>
          <w:b/>
          <w:i w:val="0"/>
          <w:smallCaps w:val="0"/>
          <w:strike w:val="0"/>
          <w:sz w:val="22"/>
          <w:u w:val="single"/>
        </w:rPr>
        <w:t xml:space="preserve"> </w:t>
      </w:r>
      <w:r>
        <w:rPr>
          <w:b/>
          <w:i w:val="0"/>
          <w:smallCaps w:val="0"/>
          <w:strike w:val="0"/>
          <w:sz w:val="22"/>
          <w:highlight w:val="cyan"/>
          <w:u w:val="single"/>
        </w:rPr>
        <w:t>analyzed</w:t>
      </w:r>
      <w:r>
        <w:rPr>
          <w:b/>
          <w:i w:val="0"/>
          <w:smallCaps w:val="0"/>
          <w:strike w:val="0"/>
          <w:sz w:val="22"/>
          <w:u w:val="single"/>
        </w:rPr>
        <w:t xml:space="preserve"> the </w:t>
      </w:r>
      <w:r>
        <w:rPr>
          <w:b/>
          <w:i w:val="0"/>
          <w:smallCaps w:val="0"/>
          <w:strike w:val="0"/>
          <w:sz w:val="22"/>
          <w:highlight w:val="cyan"/>
          <w:u w:val="single"/>
        </w:rPr>
        <w:t>same</w:t>
      </w:r>
      <w:r>
        <w:rPr>
          <w:b/>
          <w:i w:val="0"/>
          <w:smallCaps w:val="0"/>
          <w:strike w:val="0"/>
          <w:sz w:val="22"/>
          <w:u w:val="single"/>
        </w:rPr>
        <w:t xml:space="preserve"> </w:t>
      </w:r>
      <w:r>
        <w:rPr>
          <w:b/>
          <w:i w:val="0"/>
          <w:smallCaps w:val="0"/>
          <w:strike w:val="0"/>
          <w:sz w:val="22"/>
          <w:highlight w:val="cyan"/>
          <w:u w:val="single"/>
        </w:rPr>
        <w:t>arguments</w:t>
      </w:r>
      <w:r>
        <w:rPr>
          <w:b/>
          <w:i w:val="0"/>
          <w:smallCaps w:val="0"/>
          <w:strike w:val="0"/>
          <w:sz w:val="22"/>
          <w:u w:val="single"/>
        </w:rPr>
        <w:t xml:space="preserve"> and prior art, and </w:t>
      </w:r>
      <w:r>
        <w:rPr>
          <w:b/>
          <w:i w:val="0"/>
          <w:smallCaps w:val="0"/>
          <w:strike w:val="0"/>
          <w:sz w:val="22"/>
          <w:highlight w:val="cyan"/>
          <w:u w:val="single"/>
        </w:rPr>
        <w:t xml:space="preserve">found </w:t>
      </w:r>
      <w:r>
        <w:rPr>
          <w:b/>
          <w:i w:val="0"/>
          <w:smallCaps w:val="0"/>
          <w:strike w:val="0"/>
          <w:sz w:val="22"/>
          <w:u w:val="single"/>
        </w:rPr>
        <w:t xml:space="preserve">the </w:t>
      </w:r>
      <w:r>
        <w:rPr>
          <w:b/>
          <w:i w:val="0"/>
          <w:smallCaps w:val="0"/>
          <w:strike w:val="0"/>
          <w:sz w:val="22"/>
          <w:highlight w:val="cyan"/>
          <w:u w:val="single"/>
        </w:rPr>
        <w:t xml:space="preserve">patents </w:t>
      </w:r>
      <w:r>
        <w:rPr>
          <w:b/>
          <w:i w:val="0"/>
          <w:smallCaps w:val="0"/>
          <w:strike w:val="0"/>
          <w:sz w:val="22"/>
          <w:u w:val="single"/>
        </w:rPr>
        <w:t xml:space="preserve">to be </w:t>
      </w:r>
      <w:r>
        <w:rPr>
          <w:b/>
          <w:i w:val="0"/>
          <w:smallCaps w:val="0"/>
          <w:strike w:val="0"/>
          <w:sz w:val="22"/>
          <w:highlight w:val="cyan"/>
          <w:u w:val="single"/>
        </w:rPr>
        <w:t>valid</w:t>
      </w:r>
      <w:r>
        <w:rPr>
          <w:b w:val="0"/>
          <w:i w:val="0"/>
          <w:smallCaps w:val="0"/>
          <w:strike w:val="0"/>
          <w:sz w:val="16"/>
          <w:u w:val="none"/>
        </w:rPr>
        <w:t xml:space="preserve">. </w:t>
      </w:r>
      <w:r>
        <w:rPr>
          <w:b w:val="0"/>
          <w:i w:val="0"/>
          <w:smallCaps w:val="0"/>
          <w:strike w:val="0"/>
          <w:sz w:val="22"/>
          <w:highlight w:val="cyan"/>
          <w:u w:val="single"/>
        </w:rPr>
        <w:t>Novartis</w:t>
      </w:r>
      <w:r>
        <w:rPr>
          <w:b w:val="0"/>
          <w:i w:val="0"/>
          <w:smallCaps w:val="0"/>
          <w:strike w:val="0"/>
          <w:sz w:val="22"/>
          <w:u w:val="single"/>
        </w:rPr>
        <w:t xml:space="preserve"> </w:t>
      </w:r>
      <w:r>
        <w:rPr>
          <w:b w:val="0"/>
          <w:i w:val="0"/>
          <w:smallCaps w:val="0"/>
          <w:strike w:val="0"/>
          <w:sz w:val="22"/>
          <w:highlight w:val="cyan"/>
          <w:u w:val="single"/>
        </w:rPr>
        <w:t>appealed</w:t>
      </w:r>
      <w:r>
        <w:rPr>
          <w:b w:val="0"/>
          <w:i w:val="0"/>
          <w:smallCaps w:val="0"/>
          <w:strike w:val="0"/>
          <w:sz w:val="22"/>
          <w:u w:val="single"/>
        </w:rPr>
        <w:t xml:space="preserve"> to the Federal </w:t>
      </w:r>
      <w:r>
        <w:rPr>
          <w:b w:val="0"/>
          <w:i w:val="0"/>
          <w:smallCaps w:val="0"/>
          <w:strike w:val="0"/>
          <w:sz w:val="22"/>
          <w:highlight w:val="cyan"/>
          <w:u w:val="single"/>
        </w:rPr>
        <w:t>Circuit</w:t>
      </w:r>
      <w:r>
        <w:rPr>
          <w:b w:val="0"/>
          <w:i w:val="0"/>
          <w:smallCaps w:val="0"/>
          <w:strike w:val="0"/>
          <w:sz w:val="22"/>
          <w:u w:val="single"/>
        </w:rPr>
        <w:t xml:space="preserve">, </w:t>
      </w:r>
      <w:r>
        <w:rPr>
          <w:b w:val="0"/>
          <w:i w:val="0"/>
          <w:smallCaps w:val="0"/>
          <w:strike w:val="0"/>
          <w:sz w:val="22"/>
          <w:highlight w:val="cyan"/>
          <w:u w:val="single"/>
        </w:rPr>
        <w:t>arguing</w:t>
      </w:r>
      <w:r>
        <w:rPr>
          <w:b w:val="0"/>
          <w:i w:val="0"/>
          <w:smallCaps w:val="0"/>
          <w:strike w:val="0"/>
          <w:sz w:val="22"/>
          <w:u w:val="single"/>
        </w:rPr>
        <w:t xml:space="preserve"> that under Federal Circuit precedent, prior judicial decisions control the PTAB's findings, and that the </w:t>
      </w:r>
      <w:r>
        <w:rPr>
          <w:b w:val="0"/>
          <w:i w:val="0"/>
          <w:smallCaps w:val="0"/>
          <w:strike w:val="0"/>
          <w:sz w:val="22"/>
          <w:highlight w:val="cyan"/>
          <w:u w:val="single"/>
        </w:rPr>
        <w:t>PTAB</w:t>
      </w:r>
      <w:r>
        <w:rPr>
          <w:b w:val="0"/>
          <w:i w:val="0"/>
          <w:smallCaps w:val="0"/>
          <w:strike w:val="0"/>
          <w:sz w:val="22"/>
          <w:u w:val="single"/>
        </w:rPr>
        <w:t xml:space="preserve"> </w:t>
      </w:r>
      <w:r>
        <w:rPr>
          <w:b w:val="0"/>
          <w:i w:val="0"/>
          <w:smallCaps w:val="0"/>
          <w:strike w:val="0"/>
          <w:sz w:val="22"/>
          <w:highlight w:val="cyan"/>
          <w:u w:val="single"/>
        </w:rPr>
        <w:t xml:space="preserve">failed to show </w:t>
      </w:r>
      <w:r>
        <w:rPr>
          <w:b w:val="0"/>
          <w:i w:val="0"/>
          <w:smallCaps w:val="0"/>
          <w:strike w:val="0"/>
          <w:sz w:val="22"/>
          <w:u w:val="single"/>
        </w:rPr>
        <w:t xml:space="preserve">any </w:t>
      </w:r>
      <w:r>
        <w:rPr>
          <w:b w:val="0"/>
          <w:i w:val="0"/>
          <w:smallCaps w:val="0"/>
          <w:strike w:val="0"/>
          <w:sz w:val="22"/>
          <w:highlight w:val="cyan"/>
          <w:u w:val="single"/>
        </w:rPr>
        <w:t>motivation to combine the prior art</w:t>
      </w:r>
      <w:r>
        <w:rPr>
          <w:b w:val="0"/>
          <w:i w:val="0"/>
          <w:smallCaps w:val="0"/>
          <w:strike w:val="0"/>
          <w:sz w:val="22"/>
          <w:u w:val="single"/>
        </w:rPr>
        <w:t>.</w:t>
      </w:r>
      <w:r>
        <w:rPr>
          <w:b w:val="0"/>
          <w:i w:val="0"/>
          <w:smallCaps w:val="0"/>
          <w:strike w:val="0"/>
          <w:sz w:val="16"/>
          <w:u w:val="none"/>
        </w:rPr>
        <w:t xml:space="preserve"> Regarding Novartis's argument that the PTAB should have been bound by the prior district court decision, the </w:t>
      </w:r>
      <w:r>
        <w:rPr>
          <w:b w:val="0"/>
          <w:i w:val="0"/>
          <w:smallCaps w:val="0"/>
          <w:strike w:val="0"/>
          <w:sz w:val="22"/>
          <w:u w:val="single"/>
        </w:rPr>
        <w:t>Federal Circuit disagreed on both factual and legal grounds.</w:t>
      </w:r>
      <w:r>
        <w:rPr>
          <w:b w:val="0"/>
          <w:i w:val="0"/>
          <w:smallCaps w:val="0"/>
          <w:strike w:val="0"/>
          <w:sz w:val="16"/>
          <w:u w:val="none"/>
        </w:rPr>
        <w:t xml:space="preserve"> Factually, while the previous case may have been 'substantively the same,' the presence of an additional piece of prior art and new declaratory evidence undercut Novartis' argument that the facts were entirely the same</w:t>
      </w:r>
      <w:r>
        <w:rPr>
          <w:b/>
          <w:i w:val="0"/>
          <w:smallCaps w:val="0"/>
          <w:strike w:val="0"/>
          <w:sz w:val="22"/>
          <w:u w:val="single"/>
        </w:rPr>
        <w:t xml:space="preserve">. As the </w:t>
      </w:r>
      <w:r>
        <w:rPr>
          <w:b/>
          <w:i w:val="0"/>
          <w:smallCaps w:val="0"/>
          <w:strike w:val="0"/>
          <w:sz w:val="22"/>
          <w:highlight w:val="cyan"/>
          <w:u w:val="single"/>
        </w:rPr>
        <w:t>Court</w:t>
      </w:r>
      <w:r>
        <w:rPr>
          <w:b/>
          <w:i w:val="0"/>
          <w:smallCaps w:val="0"/>
          <w:strike w:val="0"/>
          <w:sz w:val="22"/>
          <w:u w:val="single"/>
        </w:rPr>
        <w:t xml:space="preserve"> </w:t>
      </w:r>
      <w:r>
        <w:rPr>
          <w:b/>
          <w:i w:val="0"/>
          <w:smallCaps w:val="0"/>
          <w:strike w:val="0"/>
          <w:sz w:val="22"/>
          <w:highlight w:val="cyan"/>
          <w:u w:val="single"/>
        </w:rPr>
        <w:t>explained</w:t>
      </w:r>
      <w:r>
        <w:rPr>
          <w:b/>
          <w:i w:val="0"/>
          <w:smallCaps w:val="0"/>
          <w:strike w:val="0"/>
          <w:sz w:val="22"/>
          <w:u w:val="single"/>
        </w:rPr>
        <w:t xml:space="preserve">, </w:t>
      </w:r>
      <w:r>
        <w:rPr>
          <w:b/>
          <w:i w:val="0"/>
          <w:smallCaps w:val="0"/>
          <w:strike w:val="0"/>
          <w:sz w:val="22"/>
          <w:highlight w:val="cyan"/>
          <w:u w:val="single"/>
        </w:rPr>
        <w:t>different records</w:t>
      </w:r>
      <w:r>
        <w:rPr>
          <w:b/>
          <w:i w:val="0"/>
          <w:smallCaps w:val="0"/>
          <w:strike w:val="0"/>
          <w:sz w:val="22"/>
          <w:u w:val="single"/>
        </w:rPr>
        <w:t xml:space="preserve"> may </w:t>
      </w:r>
      <w:r>
        <w:rPr>
          <w:b/>
          <w:i w:val="0"/>
          <w:smallCaps w:val="0"/>
          <w:strike w:val="0"/>
          <w:sz w:val="22"/>
          <w:highlight w:val="cyan"/>
          <w:u w:val="single"/>
        </w:rPr>
        <w:t>lead</w:t>
      </w:r>
      <w:r>
        <w:rPr>
          <w:b/>
          <w:i w:val="0"/>
          <w:smallCaps w:val="0"/>
          <w:strike w:val="0"/>
          <w:sz w:val="22"/>
          <w:u w:val="single"/>
        </w:rPr>
        <w:t xml:space="preserve"> </w:t>
      </w:r>
      <w:r>
        <w:rPr>
          <w:b/>
          <w:i w:val="0"/>
          <w:smallCaps w:val="0"/>
          <w:strike w:val="0"/>
          <w:sz w:val="22"/>
          <w:highlight w:val="cyan"/>
          <w:u w:val="single"/>
        </w:rPr>
        <w:t>to different findings and conclusions</w:t>
      </w:r>
      <w:r>
        <w:rPr>
          <w:b w:val="0"/>
          <w:i w:val="0"/>
          <w:smallCaps w:val="0"/>
          <w:strike w:val="0"/>
          <w:sz w:val="22"/>
          <w:u w:val="single"/>
        </w:rPr>
        <w:t xml:space="preserve">. Legally, even had the </w:t>
      </w:r>
      <w:r>
        <w:rPr>
          <w:b w:val="0"/>
          <w:i w:val="0"/>
          <w:smallCaps w:val="0"/>
          <w:strike w:val="0"/>
          <w:sz w:val="22"/>
          <w:highlight w:val="cyan"/>
          <w:u w:val="single"/>
        </w:rPr>
        <w:t>records</w:t>
      </w:r>
      <w:r>
        <w:rPr>
          <w:b w:val="0"/>
          <w:i w:val="0"/>
          <w:smallCaps w:val="0"/>
          <w:strike w:val="0"/>
          <w:sz w:val="22"/>
          <w:u w:val="single"/>
        </w:rPr>
        <w:t xml:space="preserve"> been </w:t>
      </w:r>
      <w:r>
        <w:rPr>
          <w:b w:val="0"/>
          <w:i w:val="0"/>
          <w:smallCaps w:val="0"/>
          <w:strike w:val="0"/>
          <w:sz w:val="22"/>
          <w:highlight w:val="cyan"/>
          <w:u w:val="single"/>
        </w:rPr>
        <w:t>exactly the same,</w:t>
      </w:r>
      <w:r>
        <w:rPr>
          <w:b w:val="0"/>
          <w:i w:val="0"/>
          <w:smallCaps w:val="0"/>
          <w:strike w:val="0"/>
          <w:sz w:val="22"/>
          <w:u w:val="single"/>
        </w:rPr>
        <w:t xml:space="preserve"> the PTAB reviews patentability issues using a preponderance of evidence standard, while district courts require clear and convincing evidence to invalidate a patent.</w:t>
      </w:r>
      <w:r>
        <w:rPr>
          <w:b w:val="0"/>
          <w:i w:val="0"/>
          <w:smallCaps w:val="0"/>
          <w:strike w:val="0"/>
          <w:sz w:val="16"/>
          <w:u w:val="none"/>
        </w:rPr>
        <w:t xml:space="preserve"> While the same evidence and argument will ideally result in the same findings, </w:t>
      </w:r>
      <w:r>
        <w:rPr>
          <w:b/>
          <w:i w:val="0"/>
          <w:smallCaps w:val="0"/>
          <w:strike w:val="0"/>
          <w:sz w:val="22"/>
          <w:highlight w:val="cyan"/>
          <w:u w:val="single"/>
        </w:rPr>
        <w:t>under</w:t>
      </w:r>
      <w:r>
        <w:rPr>
          <w:b/>
          <w:i w:val="0"/>
          <w:smallCaps w:val="0"/>
          <w:strike w:val="0"/>
          <w:sz w:val="22"/>
          <w:u w:val="single"/>
        </w:rPr>
        <w:t xml:space="preserve"> the </w:t>
      </w:r>
      <w:r>
        <w:rPr>
          <w:b/>
          <w:i w:val="0"/>
          <w:smallCaps w:val="0"/>
          <w:strike w:val="0"/>
          <w:sz w:val="22"/>
          <w:highlight w:val="cyan"/>
          <w:u w:val="single"/>
        </w:rPr>
        <w:t>lower</w:t>
      </w:r>
      <w:r>
        <w:rPr>
          <w:b/>
          <w:i w:val="0"/>
          <w:smallCaps w:val="0"/>
          <w:strike w:val="0"/>
          <w:sz w:val="22"/>
          <w:u w:val="single"/>
        </w:rPr>
        <w:t xml:space="preserve"> </w:t>
      </w:r>
      <w:r>
        <w:rPr>
          <w:b/>
          <w:i w:val="0"/>
          <w:smallCaps w:val="0"/>
          <w:strike w:val="0"/>
          <w:sz w:val="22"/>
          <w:highlight w:val="cyan"/>
          <w:u w:val="single"/>
        </w:rPr>
        <w:t>standard</w:t>
      </w:r>
      <w:r>
        <w:rPr>
          <w:b/>
          <w:i w:val="0"/>
          <w:smallCaps w:val="0"/>
          <w:strike w:val="0"/>
          <w:sz w:val="22"/>
          <w:u w:val="single"/>
        </w:rPr>
        <w:t xml:space="preserve"> there is </w:t>
      </w:r>
      <w:r>
        <w:rPr>
          <w:b/>
          <w:i w:val="0"/>
          <w:smallCaps w:val="0"/>
          <w:strike w:val="0"/>
          <w:sz w:val="22"/>
          <w:highlight w:val="cyan"/>
          <w:u w:val="single"/>
        </w:rPr>
        <w:t>no mandate</w:t>
      </w:r>
      <w:r>
        <w:rPr>
          <w:b/>
          <w:i w:val="0"/>
          <w:smallCaps w:val="0"/>
          <w:strike w:val="0"/>
          <w:sz w:val="22"/>
          <w:u w:val="single"/>
        </w:rPr>
        <w:t xml:space="preserve"> that the </w:t>
      </w:r>
      <w:r>
        <w:rPr>
          <w:b/>
          <w:i w:val="0"/>
          <w:smallCaps w:val="0"/>
          <w:strike w:val="0"/>
          <w:sz w:val="22"/>
          <w:highlight w:val="cyan"/>
          <w:u w:val="single"/>
        </w:rPr>
        <w:t>PTAB reach the same conclusion</w:t>
      </w:r>
      <w:r>
        <w:rPr>
          <w:b/>
          <w:i w:val="0"/>
          <w:smallCaps w:val="0"/>
          <w:strike w:val="0"/>
          <w:sz w:val="22"/>
          <w:u w:val="single"/>
        </w:rPr>
        <w:t xml:space="preserve"> as a district court.  </w:t>
      </w:r>
      <w:r>
        <w:rPr>
          <w:b w:val="0"/>
          <w:i w:val="0"/>
          <w:smallCaps w:val="0"/>
          <w:strike w:val="0"/>
          <w:sz w:val="22"/>
          <w:highlight w:val="cyan"/>
          <w:u w:val="single"/>
        </w:rPr>
        <w:t>Novartis</w:t>
      </w:r>
      <w:r>
        <w:rPr>
          <w:b w:val="0"/>
          <w:i w:val="0"/>
          <w:smallCaps w:val="0"/>
          <w:strike w:val="0"/>
          <w:sz w:val="22"/>
          <w:u w:val="single"/>
        </w:rPr>
        <w:t xml:space="preserve"> also </w:t>
      </w:r>
      <w:r>
        <w:rPr>
          <w:b w:val="0"/>
          <w:i w:val="0"/>
          <w:smallCaps w:val="0"/>
          <w:strike w:val="0"/>
          <w:sz w:val="22"/>
          <w:highlight w:val="cyan"/>
          <w:u w:val="single"/>
        </w:rPr>
        <w:t>argued</w:t>
      </w:r>
      <w:r>
        <w:rPr>
          <w:b w:val="0"/>
          <w:i w:val="0"/>
          <w:smallCaps w:val="0"/>
          <w:strike w:val="0"/>
          <w:sz w:val="22"/>
          <w:u w:val="single"/>
        </w:rPr>
        <w:t xml:space="preserve"> that the </w:t>
      </w:r>
      <w:r>
        <w:rPr>
          <w:b w:val="0"/>
          <w:i w:val="0"/>
          <w:smallCaps w:val="0"/>
          <w:strike w:val="0"/>
          <w:sz w:val="22"/>
          <w:highlight w:val="cyan"/>
          <w:u w:val="single"/>
        </w:rPr>
        <w:t>PTAB erred</w:t>
      </w:r>
      <w:r>
        <w:rPr>
          <w:b w:val="0"/>
          <w:i w:val="0"/>
          <w:smallCaps w:val="0"/>
          <w:strike w:val="0"/>
          <w:sz w:val="22"/>
          <w:u w:val="single"/>
        </w:rPr>
        <w:t xml:space="preserve"> by concluding that adding antioxidants to an acrylic polymer drug patch to prevent the degradation of the drug rivastigmine would have been obvious.</w:t>
      </w:r>
      <w:r>
        <w:rPr>
          <w:b w:val="0"/>
          <w:i w:val="0"/>
          <w:smallCaps w:val="0"/>
          <w:strike w:val="0"/>
          <w:sz w:val="16"/>
          <w:u w:val="none"/>
        </w:rPr>
        <w:t xml:space="preserve"> Novartis argued that without any evidence of rivastigmine's oxidative degradation, a person having ordinary skill in the art (PHOSITA) would not have been motivated to include an antioxidant to stabilize the rivastigmine in a transdermal patch. While the prior art taught that antioxidants can forestall the breakdown that occurs when drugs are exposed to acrylic polymers, such as those in a patch, there was no express teaching that rivastigmine breaks down</w:t>
      </w:r>
      <w:r>
        <w:rPr>
          <w:b w:val="0"/>
          <w:i w:val="0"/>
          <w:smallCaps w:val="0"/>
          <w:strike w:val="0"/>
          <w:sz w:val="22"/>
          <w:u w:val="single"/>
        </w:rPr>
        <w:t>. But the Court pointed out that prior art does not have to explicitly disclose a motivation to combine.</w:t>
      </w:r>
      <w:r>
        <w:rPr>
          <w:b w:val="0"/>
          <w:i w:val="0"/>
          <w:smallCaps w:val="0"/>
          <w:strike w:val="0"/>
          <w:sz w:val="16"/>
          <w:u w:val="none"/>
        </w:rPr>
        <w:t xml:space="preserve"> </w:t>
      </w:r>
      <w:r>
        <w:rPr>
          <w:b w:val="0"/>
          <w:i w:val="0"/>
          <w:smallCaps w:val="0"/>
          <w:strike w:val="0"/>
          <w:sz w:val="22"/>
          <w:u w:val="single"/>
        </w:rPr>
        <w:t>Furthermore, the PTAB had reasonably concluded a PHOSITA's level of skill would include organic chemistry training for analyzing and recognizing compound characteristics</w:t>
      </w:r>
      <w:r>
        <w:rPr>
          <w:b w:val="0"/>
          <w:i w:val="0"/>
          <w:smallCaps w:val="0"/>
          <w:strike w:val="0"/>
          <w:sz w:val="16"/>
          <w:u w:val="none"/>
        </w:rPr>
        <w:t xml:space="preserve">. That training would have allowed a PHOSITA to understand that rivastigmine had the potential to oxidatively degrade because of its chemical structure. </w:t>
      </w:r>
      <w:r>
        <w:rPr>
          <w:b w:val="0"/>
          <w:i w:val="0"/>
          <w:smallCaps w:val="0"/>
          <w:strike w:val="0"/>
          <w:sz w:val="22"/>
          <w:u w:val="single"/>
        </w:rPr>
        <w:t xml:space="preserve">That knowledge would motivate the PHOSITA to add antioxidants. </w:t>
      </w:r>
      <w:r>
        <w:rPr>
          <w:b w:val="0"/>
          <w:i w:val="0"/>
          <w:smallCaps w:val="0"/>
          <w:strike w:val="0"/>
          <w:sz w:val="22"/>
          <w:highlight w:val="cyan"/>
          <w:u w:val="single"/>
        </w:rPr>
        <w:t>Although</w:t>
      </w:r>
      <w:r>
        <w:rPr>
          <w:b w:val="0"/>
          <w:i w:val="0"/>
          <w:smallCaps w:val="0"/>
          <w:strike w:val="0"/>
          <w:sz w:val="22"/>
          <w:u w:val="single"/>
        </w:rPr>
        <w:t xml:space="preserve"> </w:t>
      </w:r>
      <w:r>
        <w:rPr>
          <w:b w:val="0"/>
          <w:i w:val="0"/>
          <w:smallCaps w:val="0"/>
          <w:strike w:val="0"/>
          <w:sz w:val="22"/>
          <w:highlight w:val="cyan"/>
          <w:u w:val="single"/>
        </w:rPr>
        <w:t>Novartis</w:t>
      </w:r>
      <w:r>
        <w:rPr>
          <w:b w:val="0"/>
          <w:i w:val="0"/>
          <w:smallCaps w:val="0"/>
          <w:strike w:val="0"/>
          <w:sz w:val="22"/>
          <w:u w:val="single"/>
        </w:rPr>
        <w:t xml:space="preserve"> </w:t>
      </w:r>
      <w:r>
        <w:rPr>
          <w:b w:val="0"/>
          <w:i w:val="0"/>
          <w:smallCaps w:val="0"/>
          <w:strike w:val="0"/>
          <w:sz w:val="22"/>
          <w:highlight w:val="cyan"/>
          <w:u w:val="single"/>
        </w:rPr>
        <w:t>argued</w:t>
      </w:r>
      <w:r>
        <w:rPr>
          <w:b w:val="0"/>
          <w:i w:val="0"/>
          <w:smallCaps w:val="0"/>
          <w:strike w:val="0"/>
          <w:sz w:val="22"/>
          <w:u w:val="single"/>
        </w:rPr>
        <w:t xml:space="preserve"> that its expert's testimony countered this argument, the </w:t>
      </w:r>
      <w:r>
        <w:rPr>
          <w:b/>
          <w:i w:val="0"/>
          <w:smallCaps w:val="0"/>
          <w:strike w:val="0"/>
          <w:sz w:val="22"/>
          <w:highlight w:val="cyan"/>
          <w:u w:val="single"/>
        </w:rPr>
        <w:t>Court</w:t>
      </w:r>
      <w:r>
        <w:rPr>
          <w:b w:val="0"/>
          <w:i w:val="0"/>
          <w:smallCaps w:val="0"/>
          <w:strike w:val="0"/>
          <w:sz w:val="22"/>
          <w:u w:val="single"/>
        </w:rPr>
        <w:t xml:space="preserve"> </w:t>
      </w:r>
      <w:r>
        <w:rPr>
          <w:b/>
          <w:i w:val="0"/>
          <w:smallCaps w:val="0"/>
          <w:strike w:val="0"/>
          <w:sz w:val="22"/>
          <w:highlight w:val="cyan"/>
          <w:u w:val="single"/>
        </w:rPr>
        <w:t>would not give the expert evidence more weight than the PTAB already had.</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