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Current mismatched standards incentivize repeat IPR filings.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Wiggins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11-23-20</w:t>
      </w:r>
      <w:r>
        <w:rPr>
          <w:b/>
          <w:i w:val="0"/>
          <w:smallCaps w:val="0"/>
          <w:strike w:val="0"/>
          <w:sz w:val="26"/>
          <w:u w:val="none"/>
        </w:rPr>
        <w:t>16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[Sherron, IP Associate, Davis Wright Tremaine LLP, “Inter Partes Review: Should Hedge Fund Managers be Able to Profit from Challenging a Patent’s Validity?,” , 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difference in evidentiary standards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essentially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creates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second bite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the apple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those challenging patent invalidity. If challengers fail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invalidate a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district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court, they may file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IPR petition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 the PTAB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the evidentiary standard is lower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and, while arguing the same factual matter, prevail. 135 </w:t>
      </w:r>
      <w:r>
        <w:rPr>
          <w:b w:val="0"/>
          <w:i w:val="0"/>
          <w:smallCaps w:val="0"/>
          <w:strike w:val="0"/>
          <w:sz w:val="22"/>
          <w:u w:val="single"/>
        </w:rPr>
        <w:t>Additionally,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one party fails in district court,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separate third party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can challenge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validity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16"/>
          <w:u w:val="none"/>
        </w:rPr>
        <w:t>.136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