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That destroys startups.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You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February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[Ge, Executive Editor, Southern California Law Review; “A Closer Look at the PTAB Operation,” 95 S. Cal. L. Rev. 693, </w:t>
      </w:r>
      <w:r>
        <w:rPr>
          <w:b w:val="0"/>
          <w:i w:val="0"/>
          <w:smallCaps w:val="0"/>
          <w:strike w:val="0"/>
          <w:sz w:val="20"/>
          <w:u w:val="none"/>
        </w:rPr>
        <w:t>,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addition to the practice of multiple petitioners challenging a single patent,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well-funded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large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especially tech companies,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discovered the ability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leveraging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IPRs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overwhelm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destroy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portfolios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smaller competitors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who are in no way malicious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assertion 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name of defending their own patents, it appears that large companies have been sinisterly neutralizing competitors’ intellectual property. For example, in one case study,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filed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twelve IPR petitions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against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North Carolina–based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startup</w:t>
      </w:r>
      <w:r>
        <w:rPr>
          <w:b w:val="0"/>
          <w:i w:val="0"/>
          <w:smallCaps w:val="0"/>
          <w:strike w:val="0"/>
          <w:sz w:val="22"/>
          <w:u w:val="single"/>
        </w:rPr>
        <w:t>, Valencell, after a failed attempt to collaborate with the startup on an Apple Watch 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.95 Although Valencell is only one case in point, Apple’s treatment of its competitors reflects an industry wide mindset: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well resourced legal departments are willing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counterattack innovators so aggressively as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smaller innovative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entities’ livelihood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forcing them to settle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give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enforcement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 altogether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district courts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