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Deadly viruses can still be infectious.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Alderson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6-21-20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.[Rosie, Ph.D., science writer, “No, Viruses Don’t Always Evolve to Become Less Deadly,” Medium,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//cpsw-ay]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Does increased virulence always lead to a decrease in viral fitness? Perhaps not —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virus may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still be able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transmit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others even if its host is very ill, and, if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 SARS-CoV 2,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time between infection and death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relatively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long,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ultimate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death of the host will ‘not matter’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 virus, since it will have had sufficient time to replicate and transmit to many others in the interim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Australian scientists Anderson and May developed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line of thinking, called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‘trade-off’ model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1970s, 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was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direct rebuttal to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previously widely-held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‘law of declining virulence’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consequences of the ‘trade off’ model are important: if we follow May and Anderson’s logic,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cannot be assumed that increased virulence decreases the fitness of any given pathogen. Rather,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pathogen’s ‘fitness’ is determined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individual relationship to the host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— increased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virulence may or may not, make a difference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viral replication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transmission</w:t>
      </w:r>
      <w:r>
        <w:rPr>
          <w:b w:val="0"/>
          <w:i w:val="0"/>
          <w:smallCaps w:val="0"/>
          <w:strike w:val="0"/>
          <w:sz w:val="16"/>
          <w:u w:val="none"/>
        </w:rPr>
        <w:t>. No broad-brush statements can be made about the trend of viral virulence over time, we must consider pathogen’s relationship to their host individually.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