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Financialization is key to R&amp;D funding.</w:t>
      </w:r>
    </w:p>
    <w:p>
      <w:pPr>
        <w:spacing w:after="80"/>
      </w:pPr>
      <w:r>
        <w:rPr>
          <w:b/>
          <w:i w:val="0"/>
          <w:smallCaps w:val="0"/>
          <w:strike w:val="0"/>
          <w:sz w:val="26"/>
          <w:u w:val="none"/>
        </w:rPr>
        <w:t>Liu 2-26</w:t>
      </w:r>
      <w:r>
        <w:rPr>
          <w:b w:val="0"/>
          <w:i w:val="0"/>
          <w:smallCaps w:val="0"/>
          <w:strike w:val="0"/>
          <w:sz w:val="22"/>
          <w:u w:val="none"/>
        </w:rPr>
        <w:t xml:space="preserve">-2024. [Shuangshuang, School of Civil Engineering and Architecture, Baise University; “The influence of financial asset allocation on the innovation and investment of high-tech enterprises,” Finance Research Letters, Vol. 62, </w:t>
      </w:r>
      <w:r>
        <w:rPr>
          <w:b w:val="0"/>
          <w:i w:val="0"/>
          <w:smallCaps w:val="0"/>
          <w:strike w:val="0"/>
          <w:sz w:val="22"/>
          <w:u w:val="none"/>
        </w:rPr>
        <w:t>, //cpsw-ay</w:t>
      </w:r>
    </w:p>
    <w:p>
      <w:pPr>
        <w:spacing w:after="60"/>
      </w:pPr>
      <w:r>
        <w:rPr>
          <w:b w:val="0"/>
          <w:i w:val="0"/>
          <w:smallCaps w:val="0"/>
          <w:strike w:val="0"/>
          <w:sz w:val="22"/>
          <w:u w:val="single"/>
        </w:rPr>
        <w:t xml:space="preserve">Scholars define </w:t>
      </w:r>
      <w:r>
        <w:rPr>
          <w:b w:val="0"/>
          <w:i w:val="0"/>
          <w:smallCaps w:val="0"/>
          <w:strike w:val="0"/>
          <w:sz w:val="22"/>
          <w:highlight w:val="cyan"/>
          <w:u w:val="single"/>
        </w:rPr>
        <w:t>financial asset allocation</w:t>
      </w:r>
      <w:r>
        <w:rPr>
          <w:b w:val="0"/>
          <w:i w:val="0"/>
          <w:smallCaps w:val="0"/>
          <w:strike w:val="0"/>
          <w:sz w:val="22"/>
          <w:u w:val="single"/>
        </w:rPr>
        <w:t xml:space="preserve"> as allocating funds in a portfolio to different classes of financial assets based on an investor's risk appetite, investment objectives, and market conditions. The aim is to </w:t>
      </w:r>
      <w:r>
        <w:rPr>
          <w:b w:val="0"/>
          <w:i w:val="0"/>
          <w:smallCaps w:val="0"/>
          <w:strike w:val="0"/>
          <w:sz w:val="22"/>
          <w:highlight w:val="cyan"/>
          <w:u w:val="single"/>
        </w:rPr>
        <w:t>achieve</w:t>
      </w:r>
      <w:r>
        <w:rPr>
          <w:b w:val="0"/>
          <w:i w:val="0"/>
          <w:smallCaps w:val="0"/>
          <w:strike w:val="0"/>
          <w:sz w:val="22"/>
          <w:u w:val="single"/>
        </w:rPr>
        <w:t xml:space="preserve"> the </w:t>
      </w:r>
      <w:r>
        <w:rPr>
          <w:b/>
          <w:i w:val="0"/>
          <w:smallCaps w:val="0"/>
          <w:strike w:val="0"/>
          <w:sz w:val="22"/>
          <w:highlight w:val="cyan"/>
          <w:u w:val="single"/>
        </w:rPr>
        <w:t>optimal balance</w:t>
      </w:r>
      <w:r>
        <w:rPr>
          <w:b w:val="0"/>
          <w:i w:val="0"/>
          <w:smallCaps w:val="0"/>
          <w:strike w:val="0"/>
          <w:sz w:val="22"/>
          <w:highlight w:val="cyan"/>
          <w:u w:val="single"/>
        </w:rPr>
        <w:t xml:space="preserve"> between risk and return</w:t>
      </w:r>
      <w:r>
        <w:rPr>
          <w:b w:val="0"/>
          <w:i w:val="0"/>
          <w:smallCaps w:val="0"/>
          <w:strike w:val="0"/>
          <w:sz w:val="16"/>
          <w:u w:val="none"/>
        </w:rPr>
        <w:t xml:space="preserve"> (Zhao et al., 2023). Financial asset allocation is the core aspect of portfolio management activities. Investors allocate funds to different financial assets, such as stocks, bonds, and cash, to maximize return or minimize risk (Yousaf et al., 2023). </w:t>
      </w:r>
      <w:r>
        <w:rPr>
          <w:b w:val="0"/>
          <w:i w:val="0"/>
          <w:smallCaps w:val="0"/>
          <w:strike w:val="0"/>
          <w:sz w:val="22"/>
          <w:highlight w:val="cyan"/>
          <w:u w:val="single"/>
        </w:rPr>
        <w:t>With</w:t>
      </w:r>
      <w:r>
        <w:rPr>
          <w:b w:val="0"/>
          <w:i w:val="0"/>
          <w:smallCaps w:val="0"/>
          <w:strike w:val="0"/>
          <w:sz w:val="22"/>
          <w:u w:val="single"/>
        </w:rPr>
        <w:t xml:space="preserve"> the continuous </w:t>
      </w:r>
      <w:r>
        <w:rPr>
          <w:b w:val="0"/>
          <w:i w:val="0"/>
          <w:smallCaps w:val="0"/>
          <w:strike w:val="0"/>
          <w:sz w:val="22"/>
          <w:highlight w:val="cyan"/>
          <w:u w:val="single"/>
        </w:rPr>
        <w:t>development</w:t>
      </w:r>
      <w:r>
        <w:rPr>
          <w:b w:val="0"/>
          <w:i w:val="0"/>
          <w:smallCaps w:val="0"/>
          <w:strike w:val="0"/>
          <w:sz w:val="22"/>
          <w:u w:val="single"/>
        </w:rPr>
        <w:t xml:space="preserve"> of the digital economy and digital finance, </w:t>
      </w:r>
      <w:r>
        <w:rPr>
          <w:b w:val="0"/>
          <w:i w:val="0"/>
          <w:smallCaps w:val="0"/>
          <w:strike w:val="0"/>
          <w:sz w:val="22"/>
          <w:highlight w:val="cyan"/>
          <w:u w:val="single"/>
        </w:rPr>
        <w:t>physical enterprises are</w:t>
      </w:r>
      <w:r>
        <w:rPr>
          <w:b w:val="0"/>
          <w:i w:val="0"/>
          <w:smallCaps w:val="0"/>
          <w:strike w:val="0"/>
          <w:sz w:val="22"/>
          <w:u w:val="single"/>
        </w:rPr>
        <w:t xml:space="preserve"> increasingly </w:t>
      </w:r>
      <w:r>
        <w:rPr>
          <w:b w:val="0"/>
          <w:i w:val="0"/>
          <w:smallCaps w:val="0"/>
          <w:strike w:val="0"/>
          <w:sz w:val="22"/>
          <w:highlight w:val="cyan"/>
          <w:u w:val="single"/>
        </w:rPr>
        <w:t>shifting to virtual</w:t>
      </w:r>
      <w:r>
        <w:rPr>
          <w:b w:val="0"/>
          <w:i w:val="0"/>
          <w:smallCaps w:val="0"/>
          <w:strike w:val="0"/>
          <w:sz w:val="22"/>
          <w:u w:val="single"/>
        </w:rPr>
        <w:t xml:space="preserve"> operations, and financial </w:t>
      </w:r>
      <w:r>
        <w:rPr>
          <w:b w:val="0"/>
          <w:i w:val="0"/>
          <w:smallCaps w:val="0"/>
          <w:strike w:val="0"/>
          <w:sz w:val="22"/>
          <w:highlight w:val="cyan"/>
          <w:u w:val="single"/>
        </w:rPr>
        <w:t>assets have become a vital part of high-tech</w:t>
      </w:r>
      <w:r>
        <w:rPr>
          <w:b w:val="0"/>
          <w:i w:val="0"/>
          <w:smallCaps w:val="0"/>
          <w:strike w:val="0"/>
          <w:sz w:val="22"/>
          <w:u w:val="single"/>
        </w:rPr>
        <w:t xml:space="preserve"> enterprises’ assets. </w:t>
      </w:r>
      <w:r>
        <w:rPr>
          <w:b w:val="0"/>
          <w:i w:val="0"/>
          <w:smallCaps w:val="0"/>
          <w:strike w:val="0"/>
          <w:sz w:val="22"/>
          <w:highlight w:val="cyan"/>
          <w:u w:val="single"/>
        </w:rPr>
        <w:t>Financialization</w:t>
      </w:r>
      <w:r>
        <w:rPr>
          <w:b w:val="0"/>
          <w:i w:val="0"/>
          <w:smallCaps w:val="0"/>
          <w:strike w:val="0"/>
          <w:sz w:val="22"/>
          <w:u w:val="single"/>
        </w:rPr>
        <w:t xml:space="preserve"> can </w:t>
      </w:r>
      <w:r>
        <w:rPr>
          <w:b w:val="0"/>
          <w:i w:val="0"/>
          <w:smallCaps w:val="0"/>
          <w:strike w:val="0"/>
          <w:sz w:val="22"/>
          <w:highlight w:val="cyan"/>
          <w:u w:val="single"/>
        </w:rPr>
        <w:t>promote</w:t>
      </w:r>
      <w:r>
        <w:rPr>
          <w:b w:val="0"/>
          <w:i w:val="0"/>
          <w:smallCaps w:val="0"/>
          <w:strike w:val="0"/>
          <w:sz w:val="22"/>
          <w:u w:val="single"/>
        </w:rPr>
        <w:t xml:space="preserve"> enterprise </w:t>
      </w:r>
      <w:r>
        <w:rPr>
          <w:b w:val="0"/>
          <w:i w:val="0"/>
          <w:smallCaps w:val="0"/>
          <w:strike w:val="0"/>
          <w:sz w:val="22"/>
          <w:highlight w:val="cyan"/>
          <w:u w:val="single"/>
        </w:rPr>
        <w:t>innovation</w:t>
      </w:r>
      <w:r>
        <w:rPr>
          <w:b w:val="0"/>
          <w:i w:val="0"/>
          <w:smallCaps w:val="0"/>
          <w:strike w:val="0"/>
          <w:sz w:val="16"/>
          <w:u w:val="none"/>
        </w:rPr>
        <w:t xml:space="preserve"> (Liu &amp; He, 2023). The behavior of high-tech enterprises in the effective allocation and rational use of financial assets profoundly impacts enterprise development. Reasonable allocation of financial assets can provide more effective financial support for high-tech enterprises (Zhang et al., 2021). </w:t>
      </w:r>
      <w:r>
        <w:rPr>
          <w:b w:val="0"/>
          <w:i w:val="0"/>
          <w:smallCaps w:val="0"/>
          <w:strike w:val="0"/>
          <w:sz w:val="22"/>
          <w:u w:val="single"/>
        </w:rPr>
        <w:t xml:space="preserve">Providing convenient and diversified </w:t>
      </w:r>
      <w:r>
        <w:rPr>
          <w:b w:val="0"/>
          <w:i w:val="0"/>
          <w:smallCaps w:val="0"/>
          <w:strike w:val="0"/>
          <w:sz w:val="22"/>
          <w:highlight w:val="cyan"/>
          <w:u w:val="single"/>
        </w:rPr>
        <w:t>financial services</w:t>
      </w:r>
      <w:r>
        <w:rPr>
          <w:b w:val="0"/>
          <w:i w:val="0"/>
          <w:smallCaps w:val="0"/>
          <w:strike w:val="0"/>
          <w:sz w:val="22"/>
          <w:u w:val="single"/>
        </w:rPr>
        <w:t xml:space="preserve"> for innovative investment </w:t>
      </w:r>
      <w:r>
        <w:rPr>
          <w:b w:val="0"/>
          <w:i w:val="0"/>
          <w:smallCaps w:val="0"/>
          <w:strike w:val="0"/>
          <w:sz w:val="22"/>
          <w:highlight w:val="cyan"/>
          <w:u w:val="single"/>
        </w:rPr>
        <w:t>has become</w:t>
      </w:r>
      <w:r>
        <w:rPr>
          <w:b w:val="0"/>
          <w:i w:val="0"/>
          <w:smallCaps w:val="0"/>
          <w:strike w:val="0"/>
          <w:sz w:val="22"/>
          <w:u w:val="single"/>
        </w:rPr>
        <w:t xml:space="preserve"> an </w:t>
      </w:r>
      <w:r>
        <w:rPr>
          <w:b/>
          <w:i w:val="0"/>
          <w:smallCaps w:val="0"/>
          <w:strike w:val="0"/>
          <w:sz w:val="22"/>
          <w:highlight w:val="cyan"/>
          <w:u w:val="single"/>
        </w:rPr>
        <w:t>essential</w:t>
      </w:r>
      <w:r>
        <w:rPr>
          <w:b w:val="0"/>
          <w:i w:val="0"/>
          <w:smallCaps w:val="0"/>
          <w:strike w:val="0"/>
          <w:sz w:val="22"/>
          <w:u w:val="single"/>
        </w:rPr>
        <w:t xml:space="preserve"> driving force </w:t>
      </w:r>
      <w:r>
        <w:rPr>
          <w:b w:val="0"/>
          <w:i w:val="0"/>
          <w:smallCaps w:val="0"/>
          <w:strike w:val="0"/>
          <w:sz w:val="22"/>
          <w:highlight w:val="cyan"/>
          <w:u w:val="single"/>
        </w:rPr>
        <w:t>in promoting</w:t>
      </w:r>
      <w:r>
        <w:rPr>
          <w:b w:val="0"/>
          <w:i w:val="0"/>
          <w:smallCaps w:val="0"/>
          <w:strike w:val="0"/>
          <w:sz w:val="22"/>
          <w:u w:val="single"/>
        </w:rPr>
        <w:t xml:space="preserve"> structural transformation, </w:t>
      </w:r>
      <w:r>
        <w:rPr>
          <w:b/>
          <w:i w:val="0"/>
          <w:smallCaps w:val="0"/>
          <w:strike w:val="0"/>
          <w:sz w:val="22"/>
          <w:highlight w:val="cyan"/>
          <w:u w:val="single"/>
        </w:rPr>
        <w:t>technological progress</w:t>
      </w:r>
      <w:r>
        <w:rPr>
          <w:b w:val="0"/>
          <w:i w:val="0"/>
          <w:smallCaps w:val="0"/>
          <w:strike w:val="0"/>
          <w:sz w:val="22"/>
          <w:u w:val="single"/>
        </w:rPr>
        <w:t>, and the development of industrial marketization</w:t>
      </w:r>
      <w:r>
        <w:rPr>
          <w:b w:val="0"/>
          <w:i w:val="0"/>
          <w:smallCaps w:val="0"/>
          <w:strike w:val="0"/>
          <w:sz w:val="16"/>
          <w:u w:val="none"/>
        </w:rPr>
        <w:t xml:space="preserve"> (Xolmirzaev, 2020). Therefore, in an era when innovation plays a crucial role in promoting progress, it has become imperative to study how the allocation of financial assets affects the innovation investment of high-tech enterprises.</w:t>
      </w:r>
    </w:p>
    <w:p>
      <w:pPr>
        <w:spacing w:after="60"/>
      </w:pPr>
      <w:r>
        <w:rPr>
          <w:b w:val="0"/>
          <w:i w:val="0"/>
          <w:smallCaps w:val="0"/>
          <w:strike w:val="0"/>
          <w:sz w:val="22"/>
          <w:u w:val="single"/>
        </w:rPr>
        <w:t xml:space="preserve">The </w:t>
      </w:r>
      <w:r>
        <w:rPr>
          <w:b w:val="0"/>
          <w:i w:val="0"/>
          <w:smallCaps w:val="0"/>
          <w:strike w:val="0"/>
          <w:sz w:val="22"/>
          <w:highlight w:val="cyan"/>
          <w:u w:val="single"/>
        </w:rPr>
        <w:t>supply</w:t>
      </w:r>
      <w:r>
        <w:rPr>
          <w:b w:val="0"/>
          <w:i w:val="0"/>
          <w:smallCaps w:val="0"/>
          <w:strike w:val="0"/>
          <w:sz w:val="22"/>
          <w:u w:val="single"/>
        </w:rPr>
        <w:t xml:space="preserve"> and distribution of financial assets </w:t>
      </w:r>
      <w:r>
        <w:rPr>
          <w:b w:val="0"/>
          <w:i w:val="0"/>
          <w:smallCaps w:val="0"/>
          <w:strike w:val="0"/>
          <w:sz w:val="22"/>
          <w:highlight w:val="cyan"/>
          <w:u w:val="single"/>
        </w:rPr>
        <w:t>can provide</w:t>
      </w:r>
      <w:r>
        <w:rPr>
          <w:b w:val="0"/>
          <w:i w:val="0"/>
          <w:smallCaps w:val="0"/>
          <w:strike w:val="0"/>
          <w:sz w:val="22"/>
          <w:u w:val="single"/>
        </w:rPr>
        <w:t xml:space="preserve"> firms with research and development (</w:t>
      </w:r>
      <w:r>
        <w:rPr>
          <w:b w:val="0"/>
          <w:i w:val="0"/>
          <w:smallCaps w:val="0"/>
          <w:strike w:val="0"/>
          <w:sz w:val="22"/>
          <w:highlight w:val="cyan"/>
          <w:u w:val="single"/>
        </w:rPr>
        <w:t>R&amp;D</w:t>
      </w:r>
      <w:r>
        <w:rPr>
          <w:b w:val="0"/>
          <w:i w:val="0"/>
          <w:smallCaps w:val="0"/>
          <w:strike w:val="0"/>
          <w:sz w:val="22"/>
          <w:u w:val="single"/>
        </w:rPr>
        <w:t xml:space="preserve">) </w:t>
      </w:r>
      <w:r>
        <w:rPr>
          <w:b w:val="0"/>
          <w:i w:val="0"/>
          <w:smallCaps w:val="0"/>
          <w:strike w:val="0"/>
          <w:sz w:val="22"/>
          <w:highlight w:val="cyan"/>
          <w:u w:val="single"/>
        </w:rPr>
        <w:t>resources</w:t>
      </w:r>
      <w:r>
        <w:rPr>
          <w:b w:val="0"/>
          <w:i w:val="0"/>
          <w:smallCaps w:val="0"/>
          <w:strike w:val="0"/>
          <w:sz w:val="22"/>
          <w:u w:val="single"/>
        </w:rPr>
        <w:t xml:space="preserve"> and support for technological progress</w:t>
      </w:r>
      <w:r>
        <w:rPr>
          <w:b w:val="0"/>
          <w:i w:val="0"/>
          <w:smallCaps w:val="0"/>
          <w:strike w:val="0"/>
          <w:sz w:val="16"/>
          <w:u w:val="none"/>
        </w:rPr>
        <w:t xml:space="preserve"> (Guo &amp; Xu, 2021). </w:t>
      </w:r>
      <w:r>
        <w:rPr>
          <w:b w:val="0"/>
          <w:i w:val="0"/>
          <w:smallCaps w:val="0"/>
          <w:strike w:val="0"/>
          <w:sz w:val="22"/>
          <w:highlight w:val="cyan"/>
          <w:u w:val="single"/>
        </w:rPr>
        <w:t>Funding is</w:t>
      </w:r>
      <w:r>
        <w:rPr>
          <w:b w:val="0"/>
          <w:i w:val="0"/>
          <w:smallCaps w:val="0"/>
          <w:strike w:val="0"/>
          <w:sz w:val="22"/>
          <w:u w:val="single"/>
        </w:rPr>
        <w:t xml:space="preserve"> the </w:t>
      </w:r>
      <w:r>
        <w:rPr>
          <w:b w:val="0"/>
          <w:i w:val="0"/>
          <w:smallCaps w:val="0"/>
          <w:strike w:val="0"/>
          <w:sz w:val="22"/>
          <w:highlight w:val="cyan"/>
          <w:u w:val="single"/>
        </w:rPr>
        <w:t>key to</w:t>
      </w:r>
      <w:r>
        <w:rPr>
          <w:b w:val="0"/>
          <w:i w:val="0"/>
          <w:smallCaps w:val="0"/>
          <w:strike w:val="0"/>
          <w:sz w:val="22"/>
          <w:u w:val="single"/>
        </w:rPr>
        <w:t xml:space="preserve"> enterprise </w:t>
      </w:r>
      <w:r>
        <w:rPr>
          <w:b w:val="0"/>
          <w:i w:val="0"/>
          <w:smallCaps w:val="0"/>
          <w:strike w:val="0"/>
          <w:sz w:val="22"/>
          <w:highlight w:val="cyan"/>
          <w:u w:val="single"/>
        </w:rPr>
        <w:t>innovation</w:t>
      </w:r>
      <w:r>
        <w:rPr>
          <w:b w:val="0"/>
          <w:i w:val="0"/>
          <w:smallCaps w:val="0"/>
          <w:strike w:val="0"/>
          <w:sz w:val="22"/>
          <w:u w:val="single"/>
        </w:rPr>
        <w:t>, and reasonable financial assets can encourage enterprises to</w:t>
      </w:r>
      <w:r>
        <w:rPr>
          <w:b w:val="0"/>
          <w:i w:val="0"/>
          <w:smallCaps w:val="0"/>
          <w:strike w:val="0"/>
          <w:sz w:val="16"/>
          <w:u w:val="none"/>
        </w:rPr>
        <w:t xml:space="preserve"> increase R&amp;D investment, grow their innovation teams, </w:t>
      </w:r>
      <w:r>
        <w:rPr>
          <w:b w:val="0"/>
          <w:i w:val="0"/>
          <w:smallCaps w:val="0"/>
          <w:strike w:val="0"/>
          <w:sz w:val="22"/>
          <w:highlight w:val="cyan"/>
          <w:u w:val="single"/>
        </w:rPr>
        <w:t>and</w:t>
      </w:r>
      <w:r>
        <w:rPr>
          <w:b w:val="0"/>
          <w:i w:val="0"/>
          <w:smallCaps w:val="0"/>
          <w:strike w:val="0"/>
          <w:sz w:val="22"/>
          <w:u w:val="single"/>
        </w:rPr>
        <w:t xml:space="preserve"> acquire advanced </w:t>
      </w:r>
      <w:r>
        <w:rPr>
          <w:b w:val="0"/>
          <w:i w:val="0"/>
          <w:smallCaps w:val="0"/>
          <w:strike w:val="0"/>
          <w:sz w:val="22"/>
          <w:highlight w:val="cyan"/>
          <w:u w:val="single"/>
        </w:rPr>
        <w:t>research equipment</w:t>
      </w:r>
      <w:r>
        <w:rPr>
          <w:b w:val="0"/>
          <w:i w:val="0"/>
          <w:smallCaps w:val="0"/>
          <w:strike w:val="0"/>
          <w:sz w:val="22"/>
          <w:u w:val="single"/>
        </w:rPr>
        <w:t xml:space="preserve"> and technology</w:t>
      </w:r>
      <w:r>
        <w:rPr>
          <w:b w:val="0"/>
          <w:i w:val="0"/>
          <w:smallCaps w:val="0"/>
          <w:strike w:val="0"/>
          <w:sz w:val="16"/>
          <w:u w:val="none"/>
        </w:rPr>
        <w:t xml:space="preserve"> (Yang et al., 2019).</w:t>
      </w:r>
    </w:p>
    <w:p>
      <w:pPr>
        <w:spacing w:after="60"/>
      </w:pPr>
      <w:r>
        <w:rPr>
          <w:b w:val="0"/>
          <w:i w:val="0"/>
          <w:smallCaps w:val="0"/>
          <w:strike w:val="0"/>
          <w:sz w:val="16"/>
          <w:u w:val="none"/>
        </w:rPr>
        <w:t xml:space="preserve">The allocation of financial assets is related to firms’ innovation capabilities and environment. </w:t>
      </w:r>
      <w:r>
        <w:rPr>
          <w:b w:val="0"/>
          <w:i w:val="0"/>
          <w:smallCaps w:val="0"/>
          <w:strike w:val="0"/>
          <w:sz w:val="22"/>
          <w:u w:val="single"/>
        </w:rPr>
        <w:t xml:space="preserve">The </w:t>
      </w:r>
      <w:r>
        <w:rPr>
          <w:b/>
          <w:i w:val="0"/>
          <w:smallCaps w:val="0"/>
          <w:strike w:val="0"/>
          <w:sz w:val="22"/>
          <w:highlight w:val="cyan"/>
          <w:u w:val="single"/>
        </w:rPr>
        <w:t>centralized allocation</w:t>
      </w:r>
      <w:r>
        <w:rPr>
          <w:b w:val="0"/>
          <w:i w:val="0"/>
          <w:smallCaps w:val="0"/>
          <w:strike w:val="0"/>
          <w:sz w:val="22"/>
          <w:highlight w:val="cyan"/>
          <w:u w:val="single"/>
        </w:rPr>
        <w:t xml:space="preserve"> of</w:t>
      </w:r>
      <w:r>
        <w:rPr>
          <w:b w:val="0"/>
          <w:i w:val="0"/>
          <w:smallCaps w:val="0"/>
          <w:strike w:val="0"/>
          <w:sz w:val="22"/>
          <w:u w:val="single"/>
        </w:rPr>
        <w:t xml:space="preserve"> financial </w:t>
      </w:r>
      <w:r>
        <w:rPr>
          <w:b w:val="0"/>
          <w:i w:val="0"/>
          <w:smallCaps w:val="0"/>
          <w:strike w:val="0"/>
          <w:sz w:val="22"/>
          <w:highlight w:val="cyan"/>
          <w:u w:val="single"/>
        </w:rPr>
        <w:t>assets</w:t>
      </w:r>
      <w:r>
        <w:rPr>
          <w:b w:val="0"/>
          <w:i w:val="0"/>
          <w:smallCaps w:val="0"/>
          <w:strike w:val="0"/>
          <w:sz w:val="22"/>
          <w:u w:val="single"/>
        </w:rPr>
        <w:t xml:space="preserve"> may </w:t>
      </w:r>
      <w:r>
        <w:rPr>
          <w:b w:val="0"/>
          <w:i w:val="0"/>
          <w:smallCaps w:val="0"/>
          <w:strike w:val="0"/>
          <w:sz w:val="22"/>
          <w:highlight w:val="cyan"/>
          <w:u w:val="single"/>
        </w:rPr>
        <w:t>lead to</w:t>
      </w:r>
      <w:r>
        <w:rPr>
          <w:b w:val="0"/>
          <w:i w:val="0"/>
          <w:smallCaps w:val="0"/>
          <w:strike w:val="0"/>
          <w:sz w:val="22"/>
          <w:u w:val="single"/>
        </w:rPr>
        <w:t xml:space="preserve"> the </w:t>
      </w:r>
      <w:r>
        <w:rPr>
          <w:b/>
          <w:i w:val="0"/>
          <w:smallCaps w:val="0"/>
          <w:strike w:val="0"/>
          <w:sz w:val="22"/>
          <w:highlight w:val="cyan"/>
          <w:u w:val="single"/>
        </w:rPr>
        <w:t>concentration of resources</w:t>
      </w:r>
      <w:r>
        <w:rPr>
          <w:b w:val="0"/>
          <w:i w:val="0"/>
          <w:smallCaps w:val="0"/>
          <w:strike w:val="0"/>
          <w:sz w:val="22"/>
          <w:u w:val="single"/>
        </w:rPr>
        <w:t xml:space="preserve"> to a few well-known enterprises, </w:t>
      </w:r>
      <w:r>
        <w:rPr>
          <w:b w:val="0"/>
          <w:i w:val="0"/>
          <w:smallCaps w:val="0"/>
          <w:strike w:val="0"/>
          <w:sz w:val="22"/>
          <w:highlight w:val="cyan"/>
          <w:u w:val="single"/>
        </w:rPr>
        <w:t xml:space="preserve">preventing </w:t>
      </w:r>
      <w:r>
        <w:rPr>
          <w:b/>
          <w:i w:val="0"/>
          <w:smallCaps w:val="0"/>
          <w:strike w:val="0"/>
          <w:sz w:val="22"/>
          <w:highlight w:val="cyan"/>
          <w:u w:val="single"/>
        </w:rPr>
        <w:t>small enterprises</w:t>
      </w:r>
      <w:r>
        <w:rPr>
          <w:b w:val="0"/>
          <w:i w:val="0"/>
          <w:smallCaps w:val="0"/>
          <w:strike w:val="0"/>
          <w:sz w:val="22"/>
          <w:highlight w:val="cyan"/>
          <w:u w:val="single"/>
        </w:rPr>
        <w:t xml:space="preserve"> from obtaining</w:t>
      </w:r>
      <w:r>
        <w:rPr>
          <w:b w:val="0"/>
          <w:i w:val="0"/>
          <w:smallCaps w:val="0"/>
          <w:strike w:val="0"/>
          <w:sz w:val="22"/>
          <w:u w:val="single"/>
        </w:rPr>
        <w:t xml:space="preserve"> sufficient financial </w:t>
      </w:r>
      <w:r>
        <w:rPr>
          <w:b w:val="0"/>
          <w:i w:val="0"/>
          <w:smallCaps w:val="0"/>
          <w:strike w:val="0"/>
          <w:sz w:val="22"/>
          <w:highlight w:val="cyan"/>
          <w:u w:val="single"/>
        </w:rPr>
        <w:t>support</w:t>
      </w:r>
      <w:r>
        <w:rPr>
          <w:b w:val="0"/>
          <w:i w:val="0"/>
          <w:smallCaps w:val="0"/>
          <w:strike w:val="0"/>
          <w:sz w:val="22"/>
          <w:u w:val="single"/>
        </w:rPr>
        <w:t xml:space="preserve"> and restricting industrial development</w:t>
      </w:r>
      <w:r>
        <w:rPr>
          <w:b w:val="0"/>
          <w:i w:val="0"/>
          <w:smallCaps w:val="0"/>
          <w:strike w:val="0"/>
          <w:sz w:val="16"/>
          <w:u w:val="none"/>
        </w:rPr>
        <w:t xml:space="preserve"> (Du et al., 2017). Furthermore, the innovation environment, including national policies, laws, and regulations, can affect the allocation of financial assets. </w:t>
      </w:r>
      <w:r>
        <w:rPr>
          <w:b w:val="0"/>
          <w:i w:val="0"/>
          <w:smallCaps w:val="0"/>
          <w:strike w:val="0"/>
          <w:sz w:val="22"/>
          <w:u w:val="single"/>
        </w:rPr>
        <w:t xml:space="preserve">Financial </w:t>
      </w:r>
      <w:r>
        <w:rPr>
          <w:b w:val="0"/>
          <w:i w:val="0"/>
          <w:smallCaps w:val="0"/>
          <w:strike w:val="0"/>
          <w:sz w:val="22"/>
          <w:highlight w:val="cyan"/>
          <w:u w:val="single"/>
        </w:rPr>
        <w:t xml:space="preserve">assets can be </w:t>
      </w:r>
      <w:r>
        <w:rPr>
          <w:b/>
          <w:i w:val="0"/>
          <w:smallCaps w:val="0"/>
          <w:strike w:val="0"/>
          <w:sz w:val="22"/>
          <w:highlight w:val="cyan"/>
          <w:u w:val="single"/>
        </w:rPr>
        <w:t>freely allocated</w:t>
      </w:r>
      <w:r>
        <w:rPr>
          <w:b w:val="0"/>
          <w:i w:val="0"/>
          <w:smallCaps w:val="0"/>
          <w:strike w:val="0"/>
          <w:sz w:val="22"/>
          <w:highlight w:val="cyan"/>
          <w:u w:val="single"/>
        </w:rPr>
        <w:t xml:space="preserve"> in an innovation-supportive policy environment</w:t>
      </w:r>
      <w:r>
        <w:rPr>
          <w:b w:val="0"/>
          <w:i w:val="0"/>
          <w:smallCaps w:val="0"/>
          <w:strike w:val="0"/>
          <w:sz w:val="22"/>
          <w:u w:val="single"/>
        </w:rPr>
        <w:t>, promoting firms to conduct R&amp;D and innovation activities</w:t>
      </w:r>
      <w:r>
        <w:rPr>
          <w:b w:val="0"/>
          <w:i w:val="0"/>
          <w:smallCaps w:val="0"/>
          <w:strike w:val="0"/>
          <w:sz w:val="16"/>
          <w:u w:val="none"/>
        </w:rPr>
        <w:t xml:space="preserve"> (Qi, 2022; Duan &amp; Zhuang, 2021). Existing studies mainly investigate the mechanism of financial asset allocation on firms’ creativity, ignoring the influencing effects caused by the different types of financial asset allocation. Therefore, by analyzing the mechanism and testing the variables’ adjustment, this study examines multiple types of financial asset allocation and explores their relationship with corporate creativity.</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