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The preponderance standard invalidates too many patents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Sturman 21</w:t>
      </w:r>
      <w:r>
        <w:rPr>
          <w:b w:val="0"/>
          <w:i w:val="0"/>
          <w:smallCaps w:val="0"/>
          <w:strike w:val="0"/>
          <w:sz w:val="22"/>
          <w:u w:val="none"/>
        </w:rPr>
        <w:t xml:space="preserve"> (Zachary, Winter 2021, “DO STANDARDS OF PROOF MATTER IN CIVIL LITIGATION? EVIDENCE FROM A RANDOMIZED SURVEY EXPERIMENT”, The Review of Litigation Vol. 41 Iss. 1, accessed 6-27-2024)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none"/>
        </w:rPr>
        <w:t>Schwartz &amp; Seaman (2013) also conducted a randomized survey experiment on 500 subjects and gave each subject one of three possible standards of proof: a preponderance standard, a clear and convincing standard, and a unique standard of proof called the   i4i standard that is used only in patent invalidity challenges.52The mock case was based on a plaintiff claim that a golf ball patent should be invalidated    [*139] on obviousness grounds.53The authors claim that this study was the first to alter the burden of proof in a civil-litigation experiment with a diverse, broadly representative group of jury-eligible citizens.54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The results from the survey experiment suggest that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jurors are more likely to find patents invalid under the preponderance standard than under the clear and convincing standard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and this difference was shown to be statistically significant.55While 38.3% of the 162 subjects receiving the preponderance standard invalidated the patent, only 27.1% of the 166 subjects receiving the clear and convincing standard invalidated the patent under the same fact pattern.56This represents roughly a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90% increase in invalidity findings by changing the standard of proof from clear and convincing to preponderance</w:t>
      </w:r>
      <w:r>
        <w:rPr>
          <w:b w:val="0"/>
          <w:i w:val="0"/>
          <w:smallCaps w:val="0"/>
          <w:strike w:val="0"/>
          <w:sz w:val="22"/>
          <w:u w:val="single"/>
        </w:rPr>
        <w:t>.</w:t>
      </w:r>
      <w:r>
        <w:rPr>
          <w:b w:val="0"/>
          <w:i w:val="0"/>
          <w:smallCaps w:val="0"/>
          <w:strike w:val="0"/>
          <w:sz w:val="22"/>
          <w:u w:val="none"/>
        </w:rPr>
        <w:t xml:space="preserve">          </w:t>
      </w:r>
    </w:p>
    <w:p>
      <w:pPr>
        <w:pStyle w:val="Caption"/>
      </w:pPr>
      <w:r>
        <w:t>Source: PTAB Harmonization Aff - Michigan 7 2024 CPSW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