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post-grant system generates uncertainty – weakens patents.</w:t>
      </w:r>
    </w:p>
    <w:p>
      <w:pPr>
        <w:spacing w:after="80"/>
      </w:pPr>
      <w:r>
        <w:rPr>
          <w:b/>
          <w:i w:val="0"/>
          <w:smallCaps w:val="0"/>
          <w:strike w:val="0"/>
          <w:sz w:val="26"/>
          <w:u w:val="none"/>
        </w:rPr>
        <w:t>You</w:t>
      </w:r>
      <w:r>
        <w:rPr>
          <w:b w:val="0"/>
          <w:i w:val="0"/>
          <w:smallCaps w:val="0"/>
          <w:strike w:val="0"/>
          <w:sz w:val="20"/>
          <w:u w:val="none"/>
        </w:rPr>
        <w:t xml:space="preserve"> February 20</w:t>
      </w:r>
      <w:r>
        <w:rPr>
          <w:b/>
          <w:i w:val="0"/>
          <w:smallCaps w:val="0"/>
          <w:strike w:val="0"/>
          <w:sz w:val="26"/>
          <w:u w:val="none"/>
        </w:rPr>
        <w:t>22</w:t>
      </w:r>
      <w:r>
        <w:rPr>
          <w:b w:val="0"/>
          <w:i w:val="0"/>
          <w:smallCaps w:val="0"/>
          <w:strike w:val="0"/>
          <w:sz w:val="20"/>
          <w:u w:val="none"/>
        </w:rPr>
        <w:t xml:space="preserve">. [Ge, Executive Editor, Southern California Law Review; “A Closer Look at the PTAB Operation,” 95 S. Cal. L. Rev. 693 </w:t>
      </w:r>
      <w:r>
        <w:rPr>
          <w:b w:val="0"/>
          <w:i w:val="0"/>
          <w:smallCaps w:val="0"/>
          <w:strike w:val="0"/>
          <w:sz w:val="20"/>
          <w:u w:val="none"/>
        </w:rPr>
        <w:t>, //cpsw-ay]</w:t>
      </w:r>
    </w:p>
    <w:p>
      <w:pPr>
        <w:spacing w:after="60"/>
      </w:pPr>
      <w:r>
        <w:rPr>
          <w:b w:val="0"/>
          <w:i w:val="0"/>
          <w:smallCaps w:val="0"/>
          <w:strike w:val="0"/>
          <w:sz w:val="16"/>
          <w:u w:val="none"/>
        </w:rPr>
        <w:t xml:space="preserve">In light of these problems, Congress passed the AIA and empowered the United States Patent Trademark Office (“USPTO”) to reevaluate and revoke previously issued patents through the creation of the Patent Trial and Appeal Board (“PTAB”).[2] </w:t>
      </w:r>
      <w:r>
        <w:rPr>
          <w:b w:val="0"/>
          <w:i w:val="0"/>
          <w:smallCaps w:val="0"/>
          <w:strike w:val="0"/>
          <w:sz w:val="20"/>
          <w:highlight w:val="cyan"/>
          <w:u w:val="single"/>
        </w:rPr>
        <w:t>The goal of</w:t>
      </w:r>
      <w:r>
        <w:rPr>
          <w:b w:val="0"/>
          <w:i w:val="0"/>
          <w:smallCaps w:val="0"/>
          <w:strike w:val="0"/>
          <w:sz w:val="20"/>
          <w:u w:val="single"/>
        </w:rPr>
        <w:t xml:space="preserve"> these </w:t>
      </w:r>
      <w:r>
        <w:rPr>
          <w:b w:val="0"/>
          <w:i w:val="0"/>
          <w:smallCaps w:val="0"/>
          <w:strike w:val="0"/>
          <w:sz w:val="20"/>
          <w:highlight w:val="cyan"/>
          <w:u w:val="single"/>
        </w:rPr>
        <w:t>post-grant</w:t>
      </w:r>
      <w:r>
        <w:rPr>
          <w:b w:val="0"/>
          <w:i w:val="0"/>
          <w:smallCaps w:val="0"/>
          <w:strike w:val="0"/>
          <w:sz w:val="20"/>
          <w:u w:val="single"/>
        </w:rPr>
        <w:t xml:space="preserve"> administrative </w:t>
      </w:r>
      <w:r>
        <w:rPr>
          <w:b w:val="0"/>
          <w:i w:val="0"/>
          <w:smallCaps w:val="0"/>
          <w:strike w:val="0"/>
          <w:sz w:val="20"/>
          <w:highlight w:val="cyan"/>
          <w:u w:val="single"/>
        </w:rPr>
        <w:t>proceedings is to serve as an</w:t>
      </w:r>
      <w:r>
        <w:rPr>
          <w:b w:val="0"/>
          <w:i w:val="0"/>
          <w:smallCaps w:val="0"/>
          <w:strike w:val="0"/>
          <w:sz w:val="20"/>
          <w:u w:val="single"/>
        </w:rPr>
        <w:t xml:space="preserve"> efficient </w:t>
      </w:r>
      <w:r>
        <w:rPr>
          <w:b w:val="0"/>
          <w:i w:val="0"/>
          <w:smallCaps w:val="0"/>
          <w:strike w:val="0"/>
          <w:sz w:val="20"/>
          <w:highlight w:val="cyan"/>
          <w:u w:val="single"/>
        </w:rPr>
        <w:t>alternative to district court</w:t>
      </w:r>
      <w:r>
        <w:rPr>
          <w:b w:val="0"/>
          <w:i w:val="0"/>
          <w:smallCaps w:val="0"/>
          <w:strike w:val="0"/>
          <w:sz w:val="20"/>
          <w:u w:val="single"/>
        </w:rPr>
        <w:t xml:space="preserve"> litigation and to lower the cost of invalidating low-value patents.</w:t>
      </w:r>
      <w:r>
        <w:rPr>
          <w:b w:val="0"/>
          <w:i w:val="0"/>
          <w:smallCaps w:val="0"/>
          <w:strike w:val="0"/>
          <w:sz w:val="16"/>
          <w:u w:val="none"/>
        </w:rPr>
        <w:t xml:space="preserve">[3] Despite Congress’s best intentions, </w:t>
      </w:r>
      <w:r>
        <w:rPr>
          <w:b w:val="0"/>
          <w:i w:val="0"/>
          <w:smallCaps w:val="0"/>
          <w:strike w:val="0"/>
          <w:sz w:val="20"/>
          <w:highlight w:val="cyan"/>
          <w:u w:val="single"/>
        </w:rPr>
        <w:t>there is</w:t>
      </w:r>
      <w:r>
        <w:rPr>
          <w:b w:val="0"/>
          <w:i w:val="0"/>
          <w:smallCaps w:val="0"/>
          <w:strike w:val="0"/>
          <w:sz w:val="20"/>
          <w:u w:val="single"/>
        </w:rPr>
        <w:t xml:space="preserve"> still </w:t>
      </w:r>
      <w:r>
        <w:rPr>
          <w:b/>
          <w:i w:val="0"/>
          <w:smallCaps w:val="0"/>
          <w:strike w:val="0"/>
          <w:sz w:val="20"/>
          <w:highlight w:val="cyan"/>
          <w:u w:val="single"/>
        </w:rPr>
        <w:t>much uncertainty</w:t>
      </w:r>
      <w:r>
        <w:rPr>
          <w:b w:val="0"/>
          <w:i w:val="0"/>
          <w:smallCaps w:val="0"/>
          <w:strike w:val="0"/>
          <w:sz w:val="20"/>
          <w:highlight w:val="cyan"/>
          <w:u w:val="single"/>
        </w:rPr>
        <w:t xml:space="preserve"> regarding these</w:t>
      </w:r>
      <w:r>
        <w:rPr>
          <w:b w:val="0"/>
          <w:i w:val="0"/>
          <w:smallCaps w:val="0"/>
          <w:strike w:val="0"/>
          <w:sz w:val="20"/>
          <w:u w:val="single"/>
        </w:rPr>
        <w:t xml:space="preserve"> cancellation </w:t>
      </w:r>
      <w:r>
        <w:rPr>
          <w:b w:val="0"/>
          <w:i w:val="0"/>
          <w:smallCaps w:val="0"/>
          <w:strike w:val="0"/>
          <w:sz w:val="20"/>
          <w:highlight w:val="cyan"/>
          <w:u w:val="single"/>
        </w:rPr>
        <w:t>procedures</w:t>
      </w:r>
      <w:r>
        <w:rPr>
          <w:b w:val="0"/>
          <w:i w:val="0"/>
          <w:smallCaps w:val="0"/>
          <w:strike w:val="0"/>
          <w:sz w:val="20"/>
          <w:u w:val="single"/>
        </w:rPr>
        <w:t>.</w:t>
      </w:r>
      <w:r>
        <w:rPr>
          <w:b w:val="0"/>
          <w:i w:val="0"/>
          <w:smallCaps w:val="0"/>
          <w:strike w:val="0"/>
          <w:sz w:val="16"/>
          <w:u w:val="none"/>
        </w:rPr>
        <w:t xml:space="preserve"> Contrary to congressional expectations, </w:t>
      </w:r>
      <w:r>
        <w:rPr>
          <w:b w:val="0"/>
          <w:i w:val="0"/>
          <w:smallCaps w:val="0"/>
          <w:strike w:val="0"/>
          <w:sz w:val="20"/>
          <w:highlight w:val="cyan"/>
          <w:u w:val="single"/>
        </w:rPr>
        <w:t>the U.S.</w:t>
      </w:r>
      <w:r>
        <w:rPr>
          <w:b w:val="0"/>
          <w:i w:val="0"/>
          <w:smallCaps w:val="0"/>
          <w:strike w:val="0"/>
          <w:sz w:val="20"/>
          <w:u w:val="single"/>
        </w:rPr>
        <w:t xml:space="preserve"> patent </w:t>
      </w:r>
      <w:r>
        <w:rPr>
          <w:b w:val="0"/>
          <w:i w:val="0"/>
          <w:smallCaps w:val="0"/>
          <w:strike w:val="0"/>
          <w:sz w:val="20"/>
          <w:highlight w:val="cyan"/>
          <w:u w:val="single"/>
        </w:rPr>
        <w:t>system</w:t>
      </w:r>
      <w:r>
        <w:rPr>
          <w:b w:val="0"/>
          <w:i w:val="0"/>
          <w:smallCaps w:val="0"/>
          <w:strike w:val="0"/>
          <w:sz w:val="20"/>
          <w:u w:val="single"/>
        </w:rPr>
        <w:t xml:space="preserve"> ranking </w:t>
      </w:r>
      <w:r>
        <w:rPr>
          <w:b/>
          <w:i w:val="0"/>
          <w:smallCaps w:val="0"/>
          <w:strike w:val="0"/>
          <w:sz w:val="20"/>
          <w:highlight w:val="cyan"/>
          <w:u w:val="single"/>
        </w:rPr>
        <w:t>dropped</w:t>
      </w:r>
      <w:r>
        <w:rPr>
          <w:b w:val="0"/>
          <w:i w:val="0"/>
          <w:smallCaps w:val="0"/>
          <w:strike w:val="0"/>
          <w:sz w:val="20"/>
          <w:u w:val="single"/>
        </w:rPr>
        <w:t xml:space="preserve"> consecutively from first to tenth to thirteenth in its patent protection ranking between 2017 and 2018, </w:t>
      </w:r>
      <w:r>
        <w:rPr>
          <w:b w:val="0"/>
          <w:i w:val="0"/>
          <w:smallCaps w:val="0"/>
          <w:strike w:val="0"/>
          <w:sz w:val="20"/>
          <w:highlight w:val="cyan"/>
          <w:u w:val="single"/>
        </w:rPr>
        <w:t xml:space="preserve">receiving the </w:t>
      </w:r>
      <w:r>
        <w:rPr>
          <w:b/>
          <w:i w:val="0"/>
          <w:smallCaps w:val="0"/>
          <w:strike w:val="0"/>
          <w:sz w:val="20"/>
          <w:highlight w:val="cyan"/>
          <w:u w:val="single"/>
        </w:rPr>
        <w:t>lowest score</w:t>
      </w:r>
      <w:r>
        <w:rPr>
          <w:b w:val="0"/>
          <w:i w:val="0"/>
          <w:smallCaps w:val="0"/>
          <w:strike w:val="0"/>
          <w:sz w:val="20"/>
          <w:highlight w:val="cyan"/>
          <w:u w:val="single"/>
        </w:rPr>
        <w:t xml:space="preserve"> in patent opposition out of </w:t>
      </w:r>
      <w:r>
        <w:rPr>
          <w:b/>
          <w:i w:val="0"/>
          <w:smallCaps w:val="0"/>
          <w:strike w:val="0"/>
          <w:sz w:val="22"/>
          <w:highlight w:val="cyan"/>
          <w:u w:val="single"/>
        </w:rPr>
        <w:t>all developed countries’</w:t>
      </w:r>
      <w:r>
        <w:rPr>
          <w:b w:val="0"/>
          <w:i w:val="0"/>
          <w:smallCaps w:val="0"/>
          <w:strike w:val="0"/>
          <w:sz w:val="20"/>
          <w:u w:val="single"/>
        </w:rPr>
        <w:t xml:space="preserve"> post-grant opposition mechanisms</w:t>
      </w:r>
      <w:r>
        <w:rPr>
          <w:b w:val="0"/>
          <w:i w:val="0"/>
          <w:smallCaps w:val="0"/>
          <w:strike w:val="0"/>
          <w:sz w:val="16"/>
          <w:u w:val="none"/>
        </w:rPr>
        <w:t>.[4] Such downward trend raises the question: Are these subpar ratings merely a result of the new tribunal’s growing pains which will soon subside, or do they indicate a systemic flaw of the U.S. patent opposition system?</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