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Perm severs. Normal means for the plan is Congress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Supreme Court 3</w:t>
      </w:r>
      <w:r>
        <w:rPr>
          <w:b w:val="0"/>
          <w:i w:val="0"/>
          <w:smallCaps w:val="0"/>
          <w:strike w:val="0"/>
          <w:u w:val="none"/>
        </w:rPr>
        <w:t xml:space="preserve"> [Opinion of the Supreme Court; delivered by Justice Ginsberg; </w:t>
      </w:r>
      <w:r>
        <w:rPr>
          <w:b w:val="0"/>
          <w:i w:val="0"/>
          <w:smallCaps w:val="0"/>
          <w:strike w:val="0"/>
          <w:u w:val="none"/>
        </w:rPr>
        <w:t>ELDRED V. ASHCROFT (01-618) 537 U.S. 186 (2003)</w:t>
      </w:r>
      <w:r>
        <w:rPr>
          <w:b w:val="0"/>
          <w:i w:val="0"/>
          <w:smallCaps w:val="0"/>
          <w:strike w:val="0"/>
          <w:u w:val="none"/>
        </w:rPr>
        <w:t xml:space="preserve">; No. 01-618; 1/15/3; </w:t>
      </w:r>
      <w:r>
        <w:rPr>
          <w:b w:val="0"/>
          <w:i w:val="0"/>
          <w:smallCaps w:val="0"/>
          <w:strike w:val="0"/>
          <w:u w:val="none"/>
        </w:rPr>
        <w:t>https://www.law.cornell.edu/supct/pdf/01-618P.ZO</w:t>
      </w:r>
      <w:r>
        <w:rPr>
          <w:b w:val="0"/>
          <w:i w:val="0"/>
          <w:smallCaps w:val="0"/>
          <w:strike w:val="0"/>
          <w:u w:val="none"/>
        </w:rPr>
        <w:t>; Accessed 6/30/24]//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 have also stressed, however,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generally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decide how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pursue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Copyright Clause</w:t>
      </w:r>
      <w:r>
        <w:rPr>
          <w:b w:val="0"/>
          <w:i w:val="0"/>
          <w:smallCaps w:val="0"/>
          <w:strike w:val="0"/>
          <w:sz w:val="16"/>
          <w:u w:val="none"/>
        </w:rPr>
        <w:t>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objectives. See Stewart v. Abend, 495 U.S., at 230 (“Th[e] evolution of the duration of copyright protection tellingly illustrates the difficulties Congress faces </w:t>
      </w:r>
      <w:r>
        <w:rPr>
          <w:b w:val="0"/>
          <w:i w:val="0"/>
          <w:smallCaps w:val="0"/>
          <w:strike w:val="0"/>
          <w:sz w:val="16"/>
          <w:u w:val="none"/>
        </w:rPr>
        <w:t>… 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[I]t is not our role to alter the delicate balance Congress has labored to achieve.”); Sony, 464 U.S., at 429 (“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[I]t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been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assigned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task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scope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[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should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granted to authors 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inventors in order to give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public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appropriate access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work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.”); Graham, 383 U.S., at 6 (“Within the limits of the constitutional grant, the </w:t>
      </w:r>
      <w:r>
        <w:rPr>
          <w:b/>
          <w:i w:val="0"/>
          <w:smallCaps w:val="0"/>
          <w:strike w:val="0"/>
          <w:sz w:val="22"/>
          <w:u w:val="single"/>
        </w:rPr>
        <w:t>Congress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of course,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implement the </w:t>
      </w:r>
      <w:r>
        <w:rPr>
          <w:b/>
          <w:i w:val="0"/>
          <w:smallCaps w:val="0"/>
          <w:strike w:val="0"/>
          <w:sz w:val="22"/>
          <w:u w:val="single"/>
        </w:rPr>
        <w:t>stated purpose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</w:t>
      </w:r>
      <w:r>
        <w:rPr>
          <w:b/>
          <w:i w:val="0"/>
          <w:smallCaps w:val="0"/>
          <w:strike w:val="0"/>
          <w:sz w:val="22"/>
          <w:u w:val="single"/>
        </w:rPr>
        <w:t>Framers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selecting the policy which in its judgment best effectuates the </w:t>
      </w:r>
      <w:r>
        <w:rPr>
          <w:b/>
          <w:i w:val="0"/>
          <w:smallCaps w:val="0"/>
          <w:strike w:val="0"/>
          <w:sz w:val="22"/>
          <w:u w:val="single"/>
        </w:rPr>
        <w:t>constitutional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aim</w:t>
      </w:r>
      <w:r>
        <w:rPr>
          <w:b w:val="0"/>
          <w:i w:val="0"/>
          <w:smallCaps w:val="0"/>
          <w:strike w:val="0"/>
          <w:sz w:val="16"/>
          <w:u w:val="none"/>
        </w:rPr>
        <w:t>.”). The justifications we earlier set out for Congress’ enactment of the CTEA, supra, at 14—17, provide a rational basis for the conclusion that the CTEA “promote[s] the Progress of Science.”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