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strengthened the Executive at the </w:t>
      </w:r>
      <w:r>
        <w:rPr>
          <w:b/>
          <w:i w:val="0"/>
          <w:smallCaps w:val="0"/>
          <w:strike w:val="0"/>
          <w:sz w:val="26"/>
          <w:u w:val="none"/>
        </w:rPr>
        <w:t>expensive</w:t>
      </w:r>
      <w:r>
        <w:rPr>
          <w:b/>
          <w:i w:val="0"/>
          <w:smallCaps w:val="0"/>
          <w:strike w:val="0"/>
          <w:sz w:val="26"/>
          <w:u w:val="none"/>
        </w:rPr>
        <w:t xml:space="preserve"> of the other branches.</w:t>
      </w:r>
    </w:p>
    <w:p>
      <w:pPr>
        <w:spacing w:after="80"/>
      </w:pPr>
      <w:r>
        <w:rPr>
          <w:b/>
          <w:i w:val="0"/>
          <w:smallCaps w:val="0"/>
          <w:strike w:val="0"/>
          <w:sz w:val="26"/>
          <w:u w:val="none"/>
        </w:rPr>
        <w:t>Joseffer</w:t>
      </w:r>
      <w:r>
        <w:rPr>
          <w:b/>
          <w:i w:val="0"/>
          <w:smallCaps w:val="0"/>
          <w:strike w:val="0"/>
          <w:sz w:val="26"/>
          <w:u w:val="none"/>
        </w:rPr>
        <w:t xml:space="preserve"> et al. 23</w:t>
      </w:r>
      <w:r>
        <w:rPr>
          <w:b w:val="0"/>
          <w:i w:val="0"/>
          <w:smallCaps w:val="0"/>
          <w:strike w:val="0"/>
          <w:u w:val="none"/>
        </w:rPr>
        <w:t xml:space="preserve"> [</w:t>
      </w:r>
      <w:r>
        <w:rPr>
          <w:b w:val="0"/>
          <w:i w:val="0"/>
          <w:smallCaps w:val="0"/>
          <w:strike w:val="0"/>
          <w:u w:val="none"/>
        </w:rPr>
        <w:t xml:space="preserve">Daryl </w:t>
      </w:r>
      <w:r>
        <w:rPr>
          <w:b w:val="0"/>
          <w:i w:val="0"/>
          <w:smallCaps w:val="0"/>
          <w:strike w:val="0"/>
          <w:u w:val="none"/>
        </w:rPr>
        <w:t>Joseffer</w:t>
      </w:r>
      <w:r>
        <w:rPr>
          <w:b w:val="0"/>
          <w:i w:val="0"/>
          <w:smallCaps w:val="0"/>
          <w:strike w:val="0"/>
          <w:u w:val="none"/>
        </w:rPr>
        <w:t xml:space="preserve"> is executive vice president and chief counsel at the U.S. Chamber Litigation Center, the litigation arm of the U.S. Chamber of Commerce</w:t>
      </w:r>
      <w:r>
        <w:rPr>
          <w:b w:val="0"/>
          <w:i w:val="0"/>
          <w:smallCaps w:val="0"/>
          <w:strike w:val="0"/>
          <w:u w:val="none"/>
        </w:rPr>
        <w:t>; *</w:t>
      </w:r>
      <w:r>
        <w:rPr>
          <w:b w:val="0"/>
          <w:i w:val="0"/>
          <w:smallCaps w:val="0"/>
          <w:strike w:val="0"/>
          <w:u w:val="none"/>
        </w:rPr>
        <w:t>Andy Varcoe is deputy chief counsel at the U.S. Chamber Litigation Center, the litigation arm of the U.S. Chamber of Commerce</w:t>
      </w:r>
      <w:r>
        <w:rPr>
          <w:b w:val="0"/>
          <w:i w:val="0"/>
          <w:smallCaps w:val="0"/>
          <w:strike w:val="0"/>
          <w:u w:val="none"/>
        </w:rPr>
        <w:t>; **</w:t>
      </w:r>
      <w:r>
        <w:rPr>
          <w:b w:val="0"/>
          <w:i w:val="0"/>
          <w:smallCaps w:val="0"/>
          <w:strike w:val="0"/>
          <w:u w:val="none"/>
        </w:rPr>
        <w:t>Helgi Walker is a partner in Gibson, Dunn &amp; Crutcher's Washington, D.C. office. She is co-chair of the firm's global Litigation Practice Group</w:t>
      </w:r>
      <w:r>
        <w:rPr>
          <w:b w:val="0"/>
          <w:i w:val="0"/>
          <w:smallCaps w:val="0"/>
          <w:strike w:val="0"/>
          <w:u w:val="none"/>
        </w:rPr>
        <w:t>; ***</w:t>
      </w:r>
      <w:r>
        <w:rPr>
          <w:b w:val="0"/>
          <w:i w:val="0"/>
          <w:smallCaps w:val="0"/>
          <w:strike w:val="0"/>
          <w:u w:val="none"/>
        </w:rPr>
        <w:t>Russell Balikian is a partner in the Washington, D.C. office of Gibson, Dunn &amp; Crutcher</w:t>
      </w:r>
      <w:r>
        <w:rPr>
          <w:b w:val="0"/>
          <w:i w:val="0"/>
          <w:smallCaps w:val="0"/>
          <w:strike w:val="0"/>
          <w:u w:val="none"/>
        </w:rPr>
        <w:t>; ***</w:t>
      </w:r>
      <w:r>
        <w:rPr>
          <w:b w:val="0"/>
          <w:i w:val="0"/>
          <w:smallCaps w:val="0"/>
          <w:strike w:val="0"/>
          <w:u w:val="none"/>
        </w:rPr>
        <w:t>Jessica L. Wagner is an associate in the Washington, D.C. office of Gibson, Dunn &amp; Crutcher</w:t>
      </w:r>
      <w:r>
        <w:rPr>
          <w:b w:val="0"/>
          <w:i w:val="0"/>
          <w:smallCaps w:val="0"/>
          <w:strike w:val="0"/>
          <w:u w:val="none"/>
        </w:rPr>
        <w:t>; ****</w:t>
      </w:r>
      <w:r>
        <w:rPr>
          <w:b w:val="0"/>
          <w:i w:val="0"/>
          <w:smallCaps w:val="0"/>
          <w:strike w:val="0"/>
          <w:u w:val="none"/>
        </w:rPr>
        <w:t>Edward Ferguson is an associate in the Washington, D.C. office of Gibson, Dunn &amp; Crutcher</w:t>
      </w:r>
      <w:r>
        <w:rPr>
          <w:b w:val="0"/>
          <w:i w:val="0"/>
          <w:smallCaps w:val="0"/>
          <w:strike w:val="0"/>
          <w:u w:val="none"/>
        </w:rPr>
        <w:t xml:space="preserve">; On Writ of Certiorari to the United States Court of Appeals for the District of Columbia Circuit; </w:t>
      </w:r>
      <w:r>
        <w:rPr>
          <w:b w:val="0"/>
          <w:i w:val="0"/>
          <w:smallCaps w:val="0"/>
          <w:strike w:val="0"/>
          <w:u w:val="none"/>
        </w:rPr>
        <w:t>No. 22-45</w:t>
      </w:r>
      <w:r>
        <w:rPr>
          <w:b w:val="0"/>
          <w:i w:val="0"/>
          <w:smallCaps w:val="0"/>
          <w:strike w:val="0"/>
          <w:u w:val="none"/>
        </w:rPr>
        <w:t>; 7/24/23; “BRIEF FOR AMICUS CURIAE THE CHAMBER OF COMMERCE OF THE UNITED STATES OF AMERICA IN SUPPORT OF PETITIONERS</w:t>
      </w:r>
      <w:r>
        <w:rPr>
          <w:b w:val="0"/>
          <w:i w:val="0"/>
          <w:smallCaps w:val="0"/>
          <w:strike w:val="0"/>
          <w:u w:val="none"/>
        </w:rPr>
        <w:t>.</w:t>
      </w:r>
      <w:r>
        <w:rPr>
          <w:b w:val="0"/>
          <w:i w:val="0"/>
          <w:smallCaps w:val="0"/>
          <w:strike w:val="0"/>
          <w:u w:val="none"/>
        </w:rPr>
        <w:t xml:space="preserve">”;  </w:t>
      </w:r>
      <w:r>
        <w:rPr>
          <w:b w:val="0"/>
          <w:i w:val="0"/>
          <w:smallCaps w:val="0"/>
          <w:strike w:val="0"/>
          <w:u w:val="none"/>
        </w:rPr>
        <w:t>https://www.supremecourt.gov/DocketPDF/22/22-451/272688/20230724120208874_Chamber%20-%20Loper%20Bright%20Amicus%20Brief.pdf</w:t>
      </w:r>
      <w:r>
        <w:rPr>
          <w:b w:val="0"/>
          <w:i w:val="0"/>
          <w:smallCaps w:val="0"/>
          <w:strike w:val="0"/>
          <w:u w:val="none"/>
        </w:rPr>
        <w:t>; Accessed 6/29/24]//</w:t>
      </w:r>
      <w:r>
        <w:rPr>
          <w:b w:val="0"/>
          <w:i w:val="0"/>
          <w:smallCaps w:val="0"/>
          <w:strike w:val="0"/>
          <w:u w:val="none"/>
        </w:rPr>
        <w:t>maikle</w:t>
      </w:r>
    </w:p>
    <w:p>
      <w:pPr>
        <w:spacing w:after="60"/>
      </w:pPr>
      <w:r>
        <w:rPr>
          <w:b w:val="0"/>
          <w:i w:val="0"/>
          <w:smallCaps w:val="0"/>
          <w:strike w:val="0"/>
          <w:sz w:val="16"/>
          <w:u w:val="none"/>
        </w:rPr>
        <w:t xml:space="preserve">First, </w:t>
      </w:r>
      <w:r>
        <w:rPr>
          <w:b w:val="0"/>
          <w:i w:val="0"/>
          <w:smallCaps w:val="0"/>
          <w:strike w:val="0"/>
          <w:sz w:val="22"/>
          <w:highlight w:val="cyan"/>
          <w:u w:val="single"/>
        </w:rPr>
        <w:t>easy deference</w:t>
      </w:r>
      <w:r>
        <w:rPr>
          <w:b w:val="0"/>
          <w:i w:val="0"/>
          <w:smallCaps w:val="0"/>
          <w:strike w:val="0"/>
          <w:sz w:val="16"/>
          <w:u w:val="none"/>
        </w:rPr>
        <w:t xml:space="preserve"> to agency statutory interpretations </w:t>
      </w:r>
      <w:r>
        <w:rPr>
          <w:b/>
          <w:i w:val="0"/>
          <w:smallCaps w:val="0"/>
          <w:strike w:val="0"/>
          <w:sz w:val="22"/>
          <w:highlight w:val="cyan"/>
          <w:u w:val="single"/>
        </w:rPr>
        <w:t>incentivizes</w:t>
      </w:r>
      <w:r>
        <w:rPr>
          <w:b w:val="0"/>
          <w:i w:val="0"/>
          <w:smallCaps w:val="0"/>
          <w:strike w:val="0"/>
          <w:sz w:val="22"/>
          <w:u w:val="single"/>
        </w:rPr>
        <w:t xml:space="preserve"> Congress to adopt</w:t>
      </w:r>
      <w:r>
        <w:rPr>
          <w:b w:val="0"/>
          <w:i w:val="0"/>
          <w:smallCaps w:val="0"/>
          <w:strike w:val="0"/>
          <w:sz w:val="16"/>
          <w:u w:val="none"/>
        </w:rPr>
        <w:t xml:space="preserve">—or leave in place—open-ended or </w:t>
      </w:r>
      <w:r>
        <w:rPr>
          <w:b/>
          <w:i w:val="0"/>
          <w:smallCaps w:val="0"/>
          <w:strike w:val="0"/>
          <w:sz w:val="22"/>
          <w:highlight w:val="cyan"/>
          <w:u w:val="single"/>
        </w:rPr>
        <w:t>vague statutes</w:t>
      </w:r>
      <w:r>
        <w:rPr>
          <w:b w:val="0"/>
          <w:i w:val="0"/>
          <w:smallCaps w:val="0"/>
          <w:strike w:val="0"/>
          <w:sz w:val="22"/>
          <w:u w:val="single"/>
        </w:rPr>
        <w:t xml:space="preserve"> that operate as broad delegations of legislative authority</w:t>
      </w:r>
      <w:r>
        <w:rPr>
          <w:b w:val="0"/>
          <w:i w:val="0"/>
          <w:smallCaps w:val="0"/>
          <w:strike w:val="0"/>
          <w:sz w:val="16"/>
          <w:u w:val="none"/>
        </w:rPr>
        <w:t xml:space="preserve">. This practice is at odds with our government’s basic structural design. </w:t>
      </w:r>
      <w:r>
        <w:rPr>
          <w:b w:val="0"/>
          <w:i w:val="0"/>
          <w:smallCaps w:val="0"/>
          <w:strike w:val="0"/>
          <w:sz w:val="22"/>
          <w:highlight w:val="cyan"/>
          <w:u w:val="single"/>
        </w:rPr>
        <w:t>The Constitution</w:t>
      </w:r>
      <w:r>
        <w:rPr>
          <w:b w:val="0"/>
          <w:i w:val="0"/>
          <w:smallCaps w:val="0"/>
          <w:strike w:val="0"/>
          <w:sz w:val="22"/>
          <w:u w:val="single"/>
        </w:rPr>
        <w:t xml:space="preserve"> vests</w:t>
      </w:r>
      <w:r>
        <w:rPr>
          <w:b w:val="0"/>
          <w:i w:val="0"/>
          <w:smallCaps w:val="0"/>
          <w:strike w:val="0"/>
          <w:sz w:val="16"/>
          <w:u w:val="none"/>
        </w:rPr>
        <w:t xml:space="preserve"> “</w:t>
      </w:r>
      <w:r>
        <w:rPr>
          <w:b w:val="0"/>
          <w:i w:val="0"/>
          <w:smallCaps w:val="0"/>
          <w:strike w:val="0"/>
          <w:sz w:val="22"/>
          <w:u w:val="single"/>
        </w:rPr>
        <w:t>[a]</w:t>
      </w:r>
      <w:r>
        <w:rPr>
          <w:b w:val="0"/>
          <w:i w:val="0"/>
          <w:smallCaps w:val="0"/>
          <w:strike w:val="0"/>
          <w:sz w:val="22"/>
          <w:u w:val="single"/>
        </w:rPr>
        <w:t>ll</w:t>
      </w:r>
      <w:r>
        <w:rPr>
          <w:b w:val="0"/>
          <w:i w:val="0"/>
          <w:smallCaps w:val="0"/>
          <w:strike w:val="0"/>
          <w:sz w:val="22"/>
          <w:u w:val="single"/>
        </w:rPr>
        <w:t xml:space="preserve"> legislative Powers</w:t>
      </w:r>
      <w:r>
        <w:rPr>
          <w:b w:val="0"/>
          <w:i w:val="0"/>
          <w:smallCaps w:val="0"/>
          <w:strike w:val="0"/>
          <w:sz w:val="16"/>
          <w:u w:val="none"/>
        </w:rPr>
        <w:t>”</w:t>
      </w:r>
      <w:r>
        <w:rPr>
          <w:b w:val="0"/>
          <w:i w:val="0"/>
          <w:smallCaps w:val="0"/>
          <w:strike w:val="0"/>
          <w:sz w:val="22"/>
          <w:u w:val="single"/>
        </w:rPr>
        <w:t xml:space="preserve"> in Congress</w:t>
      </w:r>
      <w:r>
        <w:rPr>
          <w:b w:val="0"/>
          <w:i w:val="0"/>
          <w:smallCaps w:val="0"/>
          <w:strike w:val="0"/>
          <w:sz w:val="16"/>
          <w:u w:val="none"/>
        </w:rPr>
        <w:t xml:space="preserve">. U.S. Const. art. I, § 1 (emphasis added). The core of that legislative power is “to enact laws, or, in other words, to prescribe rules for the regulation of the society.” The Federalist No. 75, at 449 (Hamilton) (Clinton Rossiter ed., 2003). The text of Article I “permits no delegation of those powers.” Whitman v. Am. Trucking </w:t>
      </w:r>
      <w:r>
        <w:rPr>
          <w:b w:val="0"/>
          <w:i w:val="0"/>
          <w:smallCaps w:val="0"/>
          <w:strike w:val="0"/>
          <w:sz w:val="16"/>
          <w:u w:val="none"/>
        </w:rPr>
        <w:t>Ass’ns</w:t>
      </w:r>
      <w:r>
        <w:rPr>
          <w:b w:val="0"/>
          <w:i w:val="0"/>
          <w:smallCaps w:val="0"/>
          <w:strike w:val="0"/>
          <w:sz w:val="16"/>
          <w:u w:val="none"/>
        </w:rPr>
        <w:t xml:space="preserve">, 531 U.S. 457, 472 (2001); accord Wayman v. Southard, 23 U.S. (10 Wheat.) 1, 42–43 (1825) (Marshall, C.J.) (“It will not be contended that Congress can delegate . . . powers which are strictly and exclusively legislative.”). And </w:t>
      </w:r>
      <w:r>
        <w:rPr>
          <w:b w:val="0"/>
          <w:i w:val="0"/>
          <w:smallCaps w:val="0"/>
          <w:strike w:val="0"/>
          <w:sz w:val="22"/>
          <w:u w:val="single"/>
        </w:rPr>
        <w:t>where the Constitution does permit the Executive to participate</w:t>
      </w:r>
      <w:r>
        <w:rPr>
          <w:b w:val="0"/>
          <w:i w:val="0"/>
          <w:smallCaps w:val="0"/>
          <w:strike w:val="0"/>
          <w:sz w:val="16"/>
          <w:u w:val="none"/>
        </w:rPr>
        <w:t xml:space="preserve"> in lawmaking, </w:t>
      </w:r>
      <w:r>
        <w:rPr>
          <w:b w:val="0"/>
          <w:i w:val="0"/>
          <w:smallCaps w:val="0"/>
          <w:strike w:val="0"/>
          <w:sz w:val="22"/>
          <w:u w:val="single"/>
        </w:rPr>
        <w:t>it</w:t>
      </w:r>
      <w:r>
        <w:rPr>
          <w:b w:val="0"/>
          <w:i w:val="0"/>
          <w:smallCaps w:val="0"/>
          <w:strike w:val="0"/>
          <w:sz w:val="16"/>
          <w:u w:val="none"/>
        </w:rPr>
        <w:t xml:space="preserve"> carefully </w:t>
      </w:r>
      <w:r>
        <w:rPr>
          <w:b w:val="0"/>
          <w:i w:val="0"/>
          <w:smallCaps w:val="0"/>
          <w:strike w:val="0"/>
          <w:sz w:val="22"/>
          <w:u w:val="single"/>
        </w:rPr>
        <w:t>circumscribes that participation</w:t>
      </w:r>
      <w:r>
        <w:rPr>
          <w:b w:val="0"/>
          <w:i w:val="0"/>
          <w:smallCaps w:val="0"/>
          <w:strike w:val="0"/>
          <w:sz w:val="16"/>
          <w:u w:val="none"/>
        </w:rPr>
        <w:t>—</w:t>
      </w:r>
      <w:r>
        <w:rPr>
          <w:b w:val="0"/>
          <w:i w:val="0"/>
          <w:smallCaps w:val="0"/>
          <w:strike w:val="0"/>
          <w:sz w:val="22"/>
          <w:u w:val="single"/>
        </w:rPr>
        <w:t>the President may either</w:t>
      </w:r>
      <w:r>
        <w:rPr>
          <w:b w:val="0"/>
          <w:i w:val="0"/>
          <w:smallCaps w:val="0"/>
          <w:strike w:val="0"/>
          <w:sz w:val="16"/>
          <w:u w:val="none"/>
        </w:rPr>
        <w:t xml:space="preserve"> approve and </w:t>
      </w:r>
      <w:r>
        <w:rPr>
          <w:b w:val="0"/>
          <w:i w:val="0"/>
          <w:smallCaps w:val="0"/>
          <w:strike w:val="0"/>
          <w:sz w:val="22"/>
          <w:u w:val="single"/>
        </w:rPr>
        <w:t>sign a bill</w:t>
      </w:r>
      <w:r>
        <w:rPr>
          <w:b w:val="0"/>
          <w:i w:val="0"/>
          <w:smallCaps w:val="0"/>
          <w:strike w:val="0"/>
          <w:sz w:val="16"/>
          <w:u w:val="none"/>
        </w:rPr>
        <w:t xml:space="preserve">, </w:t>
      </w:r>
      <w:r>
        <w:rPr>
          <w:b w:val="0"/>
          <w:i w:val="0"/>
          <w:smallCaps w:val="0"/>
          <w:strike w:val="0"/>
          <w:sz w:val="22"/>
          <w:u w:val="single"/>
        </w:rPr>
        <w:t>or otherwise return it to Congress</w:t>
      </w:r>
      <w:r>
        <w:rPr>
          <w:b w:val="0"/>
          <w:i w:val="0"/>
          <w:smallCaps w:val="0"/>
          <w:strike w:val="0"/>
          <w:sz w:val="16"/>
          <w:u w:val="none"/>
        </w:rPr>
        <w:t xml:space="preserve">. See U.S. Const. art. I, § 7. </w:t>
      </w:r>
      <w:r>
        <w:rPr>
          <w:b w:val="0"/>
          <w:i w:val="0"/>
          <w:smallCaps w:val="0"/>
          <w:strike w:val="0"/>
          <w:sz w:val="22"/>
          <w:u w:val="single"/>
        </w:rPr>
        <w:t>This</w:t>
      </w:r>
      <w:r>
        <w:rPr>
          <w:b w:val="0"/>
          <w:i w:val="0"/>
          <w:smallCaps w:val="0"/>
          <w:strike w:val="0"/>
          <w:sz w:val="16"/>
          <w:u w:val="none"/>
        </w:rPr>
        <w:t xml:space="preserve"> process of bicameralism and presentment </w:t>
      </w:r>
      <w:r>
        <w:rPr>
          <w:b w:val="0"/>
          <w:i w:val="0"/>
          <w:smallCaps w:val="0"/>
          <w:strike w:val="0"/>
          <w:sz w:val="22"/>
          <w:u w:val="single"/>
        </w:rPr>
        <w:t>ensures democratic accountability</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largely </w:t>
      </w:r>
      <w:r>
        <w:rPr>
          <w:b/>
          <w:i w:val="0"/>
          <w:smallCaps w:val="0"/>
          <w:strike w:val="0"/>
          <w:sz w:val="22"/>
          <w:highlight w:val="cyan"/>
          <w:u w:val="single"/>
        </w:rPr>
        <w:t>limits</w:t>
      </w:r>
      <w:r>
        <w:rPr>
          <w:b w:val="0"/>
          <w:i w:val="0"/>
          <w:smallCaps w:val="0"/>
          <w:strike w:val="0"/>
          <w:sz w:val="22"/>
          <w:highlight w:val="cyan"/>
          <w:u w:val="single"/>
        </w:rPr>
        <w:t xml:space="preserve"> the </w:t>
      </w:r>
      <w:r>
        <w:rPr>
          <w:b/>
          <w:i w:val="0"/>
          <w:smallCaps w:val="0"/>
          <w:strike w:val="0"/>
          <w:sz w:val="22"/>
          <w:highlight w:val="cyan"/>
          <w:u w:val="single"/>
        </w:rPr>
        <w:t>Executive</w:t>
      </w:r>
      <w:r>
        <w:rPr>
          <w:b w:val="0"/>
          <w:i w:val="0"/>
          <w:smallCaps w:val="0"/>
          <w:strike w:val="0"/>
          <w:sz w:val="22"/>
          <w:highlight w:val="cyan"/>
          <w:u w:val="single"/>
        </w:rPr>
        <w:t xml:space="preserve"> to executing laws</w:t>
      </w:r>
      <w:r>
        <w:rPr>
          <w:b w:val="0"/>
          <w:i w:val="0"/>
          <w:smallCaps w:val="0"/>
          <w:strike w:val="0"/>
          <w:sz w:val="22"/>
          <w:u w:val="single"/>
        </w:rPr>
        <w:t xml:space="preserve"> that </w:t>
      </w:r>
      <w:r>
        <w:rPr>
          <w:b/>
          <w:i w:val="0"/>
          <w:smallCaps w:val="0"/>
          <w:strike w:val="0"/>
          <w:sz w:val="22"/>
          <w:u w:val="single"/>
        </w:rPr>
        <w:t>Congress</w:t>
      </w:r>
      <w:r>
        <w:rPr>
          <w:b w:val="0"/>
          <w:i w:val="0"/>
          <w:smallCaps w:val="0"/>
          <w:strike w:val="0"/>
          <w:sz w:val="22"/>
          <w:u w:val="single"/>
        </w:rPr>
        <w:t xml:space="preserve"> </w:t>
      </w:r>
      <w:r>
        <w:rPr>
          <w:b/>
          <w:i w:val="0"/>
          <w:smallCaps w:val="0"/>
          <w:strike w:val="0"/>
          <w:sz w:val="22"/>
          <w:u w:val="single"/>
        </w:rPr>
        <w:t>enacts</w:t>
      </w:r>
      <w:r>
        <w:rPr>
          <w:b w:val="0"/>
          <w:i w:val="0"/>
          <w:smallCaps w:val="0"/>
          <w:strike w:val="0"/>
          <w:sz w:val="16"/>
          <w:u w:val="none"/>
        </w:rPr>
        <w:t>. While</w:t>
      </w:r>
      <w:r>
        <w:rPr>
          <w:b w:val="0"/>
          <w:i w:val="0"/>
          <w:smallCaps w:val="0"/>
          <w:strike w:val="0"/>
          <w:sz w:val="16"/>
          <w:u w:val="none"/>
        </w:rPr>
        <w:t xml:space="preserve"> some interpretive judgment may be necessary for the Executive to apply statutes to particular facts, the Constitution does not allow unilateral lawmaking in the Executive Branch.</w:t>
      </w:r>
    </w:p>
    <w:p>
      <w:pPr>
        <w:spacing w:after="60"/>
      </w:pPr>
      <w:r>
        <w:rPr>
          <w:b w:val="0"/>
          <w:i w:val="0"/>
          <w:smallCaps w:val="0"/>
          <w:strike w:val="0"/>
          <w:sz w:val="16"/>
          <w:u w:val="none"/>
        </w:rPr>
        <w:t xml:space="preserve">Modern </w:t>
      </w:r>
      <w:r>
        <w:rPr>
          <w:b/>
          <w:i w:val="0"/>
          <w:smallCaps w:val="0"/>
          <w:strike w:val="0"/>
          <w:sz w:val="22"/>
          <w:highlight w:val="cyan"/>
          <w:u w:val="single"/>
        </w:rPr>
        <w:t>Chevron</w:t>
      </w:r>
      <w:r>
        <w:rPr>
          <w:b w:val="0"/>
          <w:i w:val="0"/>
          <w:smallCaps w:val="0"/>
          <w:strike w:val="0"/>
          <w:sz w:val="16"/>
          <w:u w:val="none"/>
        </w:rPr>
        <w:t xml:space="preserve"> doctrine, supported by permissive non-delegation precedent, subverts this prohibition by </w:t>
      </w:r>
      <w:r>
        <w:rPr>
          <w:b w:val="0"/>
          <w:i w:val="0"/>
          <w:smallCaps w:val="0"/>
          <w:strike w:val="0"/>
          <w:sz w:val="22"/>
          <w:highlight w:val="cyan"/>
          <w:u w:val="single"/>
        </w:rPr>
        <w:t>allow</w:t>
      </w:r>
      <w:r>
        <w:rPr>
          <w:b w:val="0"/>
          <w:i w:val="0"/>
          <w:smallCaps w:val="0"/>
          <w:strike w:val="0"/>
          <w:sz w:val="16"/>
          <w:u w:val="none"/>
        </w:rPr>
        <w:t xml:space="preserve">ing administrative </w:t>
      </w:r>
      <w:r>
        <w:rPr>
          <w:b w:val="0"/>
          <w:i w:val="0"/>
          <w:smallCaps w:val="0"/>
          <w:strike w:val="0"/>
          <w:sz w:val="22"/>
          <w:highlight w:val="cyan"/>
          <w:u w:val="single"/>
        </w:rPr>
        <w:t>agencies to enact rules</w:t>
      </w:r>
      <w:r>
        <w:rPr>
          <w:b w:val="0"/>
          <w:i w:val="0"/>
          <w:smallCaps w:val="0"/>
          <w:strike w:val="0"/>
          <w:sz w:val="22"/>
          <w:u w:val="single"/>
        </w:rPr>
        <w:t xml:space="preserve"> governing</w:t>
      </w:r>
      <w:r>
        <w:rPr>
          <w:b w:val="0"/>
          <w:i w:val="0"/>
          <w:smallCaps w:val="0"/>
          <w:strike w:val="0"/>
          <w:sz w:val="22"/>
          <w:u w:val="single"/>
        </w:rPr>
        <w:t xml:space="preserve"> private </w:t>
      </w:r>
      <w:r>
        <w:rPr>
          <w:b w:val="0"/>
          <w:i w:val="0"/>
          <w:smallCaps w:val="0"/>
          <w:strike w:val="0"/>
          <w:sz w:val="22"/>
          <w:u w:val="single"/>
        </w:rPr>
        <w:t xml:space="preserve">conduct </w:t>
      </w:r>
      <w:r>
        <w:rPr>
          <w:b w:val="0"/>
          <w:i w:val="0"/>
          <w:smallCaps w:val="0"/>
          <w:strike w:val="0"/>
          <w:sz w:val="22"/>
          <w:highlight w:val="cyan"/>
          <w:u w:val="single"/>
        </w:rPr>
        <w:t>based on strained interp</w:t>
      </w:r>
      <w:r>
        <w:rPr>
          <w:b w:val="0"/>
          <w:i w:val="0"/>
          <w:smallCaps w:val="0"/>
          <w:strike w:val="0"/>
          <w:sz w:val="22"/>
          <w:u w:val="single"/>
        </w:rPr>
        <w:t>retation</w:t>
      </w:r>
      <w:r>
        <w:rPr>
          <w:b w:val="0"/>
          <w:i w:val="0"/>
          <w:smallCaps w:val="0"/>
          <w:strike w:val="0"/>
          <w:sz w:val="22"/>
          <w:highlight w:val="cyan"/>
          <w:u w:val="single"/>
        </w:rPr>
        <w:t>s of</w:t>
      </w:r>
      <w:r>
        <w:rPr>
          <w:b w:val="0"/>
          <w:i w:val="0"/>
          <w:smallCaps w:val="0"/>
          <w:strike w:val="0"/>
          <w:sz w:val="22"/>
          <w:u w:val="single"/>
        </w:rPr>
        <w:t xml:space="preserve"> general </w:t>
      </w:r>
      <w:r>
        <w:rPr>
          <w:b w:val="0"/>
          <w:i w:val="0"/>
          <w:smallCaps w:val="0"/>
          <w:strike w:val="0"/>
          <w:sz w:val="22"/>
          <w:highlight w:val="cyan"/>
          <w:u w:val="single"/>
        </w:rPr>
        <w:t>language in</w:t>
      </w:r>
      <w:r>
        <w:rPr>
          <w:b w:val="0"/>
          <w:i w:val="0"/>
          <w:smallCaps w:val="0"/>
          <w:strike w:val="0"/>
          <w:sz w:val="22"/>
          <w:u w:val="single"/>
        </w:rPr>
        <w:t xml:space="preserve"> existing </w:t>
      </w:r>
      <w:r>
        <w:rPr>
          <w:b w:val="0"/>
          <w:i w:val="0"/>
          <w:smallCaps w:val="0"/>
          <w:strike w:val="0"/>
          <w:sz w:val="22"/>
          <w:highlight w:val="cyan"/>
          <w:u w:val="single"/>
        </w:rPr>
        <w:t>statutes</w:t>
      </w:r>
      <w:r>
        <w:rPr>
          <w:b w:val="0"/>
          <w:i w:val="0"/>
          <w:smallCaps w:val="0"/>
          <w:strike w:val="0"/>
          <w:sz w:val="16"/>
          <w:u w:val="none"/>
        </w:rPr>
        <w:t xml:space="preserve">. The Court’s non-delegation precedents have been interpreted to allow Congress to delegate vast rulemaking power to agencies, so long as Congress provides some sort of “intelligible principle” to purport to guide their discretion. See generally Gundy v. United States, 139 S. Ct. 2116, 2138–42 (2019) (Gorsuch, J., dissenting) (tracing this development). </w:t>
      </w:r>
      <w:r>
        <w:rPr>
          <w:b w:val="0"/>
          <w:i w:val="0"/>
          <w:smallCaps w:val="0"/>
          <w:strike w:val="0"/>
          <w:sz w:val="22"/>
          <w:u w:val="single"/>
        </w:rPr>
        <w:t xml:space="preserve">Shielded from </w:t>
      </w:r>
      <w:r>
        <w:rPr>
          <w:b w:val="0"/>
          <w:i w:val="0"/>
          <w:smallCaps w:val="0"/>
          <w:strike w:val="0"/>
          <w:sz w:val="22"/>
          <w:u w:val="single"/>
        </w:rPr>
        <w:t xml:space="preserve">rigorous enforcement </w:t>
      </w:r>
      <w:r>
        <w:rPr>
          <w:b w:val="0"/>
          <w:i w:val="0"/>
          <w:smallCaps w:val="0"/>
          <w:strike w:val="0"/>
          <w:sz w:val="16"/>
          <w:u w:val="none"/>
        </w:rPr>
        <w:t xml:space="preserve">of non-delegation principles, </w:t>
      </w:r>
      <w:r>
        <w:rPr>
          <w:b w:val="0"/>
          <w:i w:val="0"/>
          <w:smallCaps w:val="0"/>
          <w:strike w:val="0"/>
          <w:sz w:val="22"/>
          <w:u w:val="single"/>
        </w:rPr>
        <w:t>agencies</w:t>
      </w:r>
      <w:r>
        <w:rPr>
          <w:b w:val="0"/>
          <w:i w:val="0"/>
          <w:smallCaps w:val="0"/>
          <w:strike w:val="0"/>
          <w:sz w:val="16"/>
          <w:u w:val="none"/>
        </w:rPr>
        <w:t xml:space="preserve"> have routinely </w:t>
      </w:r>
      <w:r>
        <w:rPr>
          <w:b w:val="0"/>
          <w:i w:val="0"/>
          <w:smallCaps w:val="0"/>
          <w:strike w:val="0"/>
          <w:sz w:val="22"/>
          <w:u w:val="single"/>
        </w:rPr>
        <w:t xml:space="preserve">claimed </w:t>
      </w:r>
      <w:r>
        <w:rPr>
          <w:b/>
          <w:i w:val="0"/>
          <w:smallCaps w:val="0"/>
          <w:strike w:val="0"/>
          <w:sz w:val="22"/>
          <w:u w:val="single"/>
        </w:rPr>
        <w:t>broad authority</w:t>
      </w:r>
      <w:r>
        <w:rPr>
          <w:b w:val="0"/>
          <w:i w:val="0"/>
          <w:smallCaps w:val="0"/>
          <w:strike w:val="0"/>
          <w:sz w:val="22"/>
          <w:u w:val="single"/>
        </w:rPr>
        <w:t xml:space="preserve"> to adopt new rules governing regulated entities</w:t>
      </w:r>
      <w:r>
        <w:rPr>
          <w:b w:val="0"/>
          <w:i w:val="0"/>
          <w:smallCaps w:val="0"/>
          <w:strike w:val="0"/>
          <w:sz w:val="16"/>
          <w:u w:val="none"/>
        </w:rPr>
        <w:t xml:space="preserve">. </w:t>
      </w:r>
      <w:r>
        <w:rPr>
          <w:b w:val="0"/>
          <w:i w:val="0"/>
          <w:smallCaps w:val="0"/>
          <w:strike w:val="0"/>
          <w:sz w:val="22"/>
          <w:u w:val="single"/>
        </w:rPr>
        <w:t>Congress allows</w:t>
      </w:r>
      <w:r>
        <w:rPr>
          <w:b w:val="0"/>
          <w:i w:val="0"/>
          <w:smallCaps w:val="0"/>
          <w:strike w:val="0"/>
          <w:sz w:val="16"/>
          <w:u w:val="none"/>
        </w:rPr>
        <w:t>—and, by enacting broad statutes, even invites—</w:t>
      </w:r>
      <w:r>
        <w:rPr>
          <w:b w:val="0"/>
          <w:i w:val="0"/>
          <w:smallCaps w:val="0"/>
          <w:strike w:val="0"/>
          <w:sz w:val="22"/>
          <w:u w:val="single"/>
        </w:rPr>
        <w:t>agencies to do so</w:t>
      </w:r>
      <w:r>
        <w:rPr>
          <w:b w:val="0"/>
          <w:i w:val="0"/>
          <w:smallCaps w:val="0"/>
          <w:strike w:val="0"/>
          <w:sz w:val="22"/>
          <w:u w:val="single"/>
        </w:rPr>
        <w:t xml:space="preserve"> because </w:t>
      </w:r>
      <w:r>
        <w:rPr>
          <w:b w:val="0"/>
          <w:i w:val="0"/>
          <w:smallCaps w:val="0"/>
          <w:strike w:val="0"/>
          <w:sz w:val="22"/>
          <w:highlight w:val="cyan"/>
          <w:u w:val="single"/>
        </w:rPr>
        <w:t xml:space="preserve">many courts applying Chevron do </w:t>
      </w:r>
      <w:r>
        <w:rPr>
          <w:b/>
          <w:i w:val="0"/>
          <w:smallCaps w:val="0"/>
          <w:strike w:val="0"/>
          <w:sz w:val="22"/>
          <w:highlight w:val="cyan"/>
          <w:u w:val="single"/>
        </w:rPr>
        <w:t>not</w:t>
      </w:r>
      <w:r>
        <w:rPr>
          <w:b w:val="0"/>
          <w:i w:val="0"/>
          <w:smallCaps w:val="0"/>
          <w:strike w:val="0"/>
          <w:sz w:val="22"/>
          <w:u w:val="single"/>
        </w:rPr>
        <w:t xml:space="preserve"> carefully </w:t>
      </w:r>
      <w:r>
        <w:rPr>
          <w:b/>
          <w:i w:val="0"/>
          <w:smallCaps w:val="0"/>
          <w:strike w:val="0"/>
          <w:sz w:val="22"/>
          <w:highlight w:val="cyan"/>
          <w:u w:val="single"/>
        </w:rPr>
        <w:t>analyze</w:t>
      </w:r>
      <w:r>
        <w:rPr>
          <w:b w:val="0"/>
          <w:i w:val="0"/>
          <w:smallCaps w:val="0"/>
          <w:strike w:val="0"/>
          <w:sz w:val="22"/>
          <w:highlight w:val="cyan"/>
          <w:u w:val="single"/>
        </w:rPr>
        <w:t xml:space="preserve"> whether an agency’s inter</w:t>
      </w:r>
      <w:r>
        <w:rPr>
          <w:b w:val="0"/>
          <w:i w:val="0"/>
          <w:smallCaps w:val="0"/>
          <w:strike w:val="0"/>
          <w:sz w:val="22"/>
          <w:u w:val="single"/>
        </w:rPr>
        <w:t xml:space="preserve">pretation of a statutory provision </w:t>
      </w:r>
      <w:r>
        <w:rPr>
          <w:b/>
          <w:i w:val="0"/>
          <w:smallCaps w:val="0"/>
          <w:strike w:val="0"/>
          <w:sz w:val="22"/>
          <w:highlight w:val="cyan"/>
          <w:u w:val="single"/>
        </w:rPr>
        <w:t>comports</w:t>
      </w:r>
      <w:r>
        <w:rPr>
          <w:b w:val="0"/>
          <w:i w:val="0"/>
          <w:smallCaps w:val="0"/>
          <w:strike w:val="0"/>
          <w:sz w:val="22"/>
          <w:highlight w:val="cyan"/>
          <w:u w:val="single"/>
        </w:rPr>
        <w:t xml:space="preserve"> with the </w:t>
      </w:r>
      <w:r>
        <w:rPr>
          <w:b/>
          <w:i w:val="0"/>
          <w:smallCaps w:val="0"/>
          <w:strike w:val="0"/>
          <w:sz w:val="22"/>
          <w:highlight w:val="cyan"/>
          <w:u w:val="single"/>
        </w:rPr>
        <w:t>correct reading</w:t>
      </w:r>
      <w:r>
        <w:rPr>
          <w:b w:val="0"/>
          <w:i w:val="0"/>
          <w:smallCaps w:val="0"/>
          <w:strike w:val="0"/>
          <w:sz w:val="22"/>
          <w:u w:val="single"/>
        </w:rPr>
        <w:t xml:space="preserve"> of that provision</w:t>
      </w:r>
      <w:r>
        <w:rPr>
          <w:b w:val="0"/>
          <w:i w:val="0"/>
          <w:smallCaps w:val="0"/>
          <w:strike w:val="0"/>
          <w:sz w:val="16"/>
          <w:u w:val="none"/>
        </w:rPr>
        <w:t xml:space="preserve">. Instead, </w:t>
      </w:r>
      <w:r>
        <w:rPr>
          <w:b w:val="0"/>
          <w:i w:val="0"/>
          <w:smallCaps w:val="0"/>
          <w:strike w:val="0"/>
          <w:sz w:val="22"/>
          <w:u w:val="single"/>
        </w:rPr>
        <w:t>courts all too quickly find</w:t>
      </w:r>
      <w:r>
        <w:rPr>
          <w:b w:val="0"/>
          <w:i w:val="0"/>
          <w:smallCaps w:val="0"/>
          <w:strike w:val="0"/>
          <w:sz w:val="16"/>
          <w:u w:val="none"/>
        </w:rPr>
        <w:t xml:space="preserve"> “</w:t>
      </w:r>
      <w:r>
        <w:rPr>
          <w:b/>
          <w:i w:val="0"/>
          <w:smallCaps w:val="0"/>
          <w:strike w:val="0"/>
          <w:sz w:val="22"/>
          <w:u w:val="single"/>
        </w:rPr>
        <w:t>ambiguities</w:t>
      </w:r>
      <w:r>
        <w:rPr>
          <w:b w:val="0"/>
          <w:i w:val="0"/>
          <w:smallCaps w:val="0"/>
          <w:strike w:val="0"/>
          <w:sz w:val="16"/>
          <w:u w:val="none"/>
        </w:rPr>
        <w:t xml:space="preserve">” in statutory provisions – </w:t>
      </w:r>
      <w:r>
        <w:rPr>
          <w:b w:val="0"/>
          <w:i w:val="0"/>
          <w:smallCaps w:val="0"/>
          <w:strike w:val="0"/>
          <w:sz w:val="22"/>
          <w:u w:val="single"/>
        </w:rPr>
        <w:t>and then</w:t>
      </w:r>
      <w:r>
        <w:rPr>
          <w:b w:val="0"/>
          <w:i w:val="0"/>
          <w:smallCaps w:val="0"/>
          <w:strike w:val="0"/>
          <w:sz w:val="16"/>
          <w:u w:val="none"/>
        </w:rPr>
        <w:t xml:space="preserve"> readily </w:t>
      </w:r>
      <w:r>
        <w:rPr>
          <w:b w:val="0"/>
          <w:i w:val="0"/>
          <w:smallCaps w:val="0"/>
          <w:strike w:val="0"/>
          <w:sz w:val="22"/>
          <w:u w:val="single"/>
        </w:rPr>
        <w:t>conclude that agencies’ interpretations</w:t>
      </w:r>
      <w:r>
        <w:rPr>
          <w:b w:val="0"/>
          <w:i w:val="0"/>
          <w:smallCaps w:val="0"/>
          <w:strike w:val="0"/>
          <w:sz w:val="16"/>
          <w:u w:val="none"/>
        </w:rPr>
        <w:t xml:space="preserve"> of such provisions </w:t>
      </w:r>
      <w:r>
        <w:rPr>
          <w:b w:val="0"/>
          <w:i w:val="0"/>
          <w:smallCaps w:val="0"/>
          <w:strike w:val="0"/>
          <w:sz w:val="22"/>
          <w:u w:val="single"/>
        </w:rPr>
        <w:t>are</w:t>
      </w:r>
      <w:r>
        <w:rPr>
          <w:b w:val="0"/>
          <w:i w:val="0"/>
          <w:smallCaps w:val="0"/>
          <w:strike w:val="0"/>
          <w:sz w:val="16"/>
          <w:u w:val="none"/>
        </w:rPr>
        <w:t xml:space="preserve"> “</w:t>
      </w:r>
      <w:r>
        <w:rPr>
          <w:b w:val="0"/>
          <w:i w:val="0"/>
          <w:smallCaps w:val="0"/>
          <w:strike w:val="0"/>
          <w:sz w:val="22"/>
          <w:u w:val="single"/>
        </w:rPr>
        <w:t>reasonable</w:t>
      </w:r>
      <w:r>
        <w:rPr>
          <w:b w:val="0"/>
          <w:i w:val="0"/>
          <w:smallCaps w:val="0"/>
          <w:strike w:val="0"/>
          <w:sz w:val="16"/>
          <w:u w:val="none"/>
        </w:rPr>
        <w:t>.” See, e.g., Pereira, 138 S. Ct. at 2120–21 (Kennedy, J., concurring).</w:t>
      </w:r>
    </w:p>
    <w:p>
      <w:pPr>
        <w:spacing w:after="60"/>
      </w:pPr>
      <w:r>
        <w:rPr>
          <w:b w:val="0"/>
          <w:i w:val="0"/>
          <w:smallCaps w:val="0"/>
          <w:strike w:val="0"/>
          <w:sz w:val="16"/>
          <w:u w:val="none"/>
        </w:rPr>
        <w:t xml:space="preserve">In practice, </w:t>
      </w:r>
      <w:r>
        <w:rPr>
          <w:b w:val="0"/>
          <w:i w:val="0"/>
          <w:smallCaps w:val="0"/>
          <w:strike w:val="0"/>
          <w:sz w:val="22"/>
          <w:u w:val="single"/>
        </w:rPr>
        <w:t>this</w:t>
      </w:r>
      <w:r>
        <w:rPr>
          <w:b w:val="0"/>
          <w:i w:val="0"/>
          <w:smallCaps w:val="0"/>
          <w:strike w:val="0"/>
          <w:sz w:val="22"/>
          <w:u w:val="single"/>
        </w:rPr>
        <w:t xml:space="preserve"> has </w:t>
      </w:r>
      <w:r>
        <w:rPr>
          <w:b w:val="0"/>
          <w:i w:val="0"/>
          <w:smallCaps w:val="0"/>
          <w:strike w:val="0"/>
          <w:sz w:val="22"/>
          <w:u w:val="single"/>
        </w:rPr>
        <w:t xml:space="preserve">meant that </w:t>
      </w:r>
      <w:r>
        <w:rPr>
          <w:b w:val="0"/>
          <w:i w:val="0"/>
          <w:smallCaps w:val="0"/>
          <w:strike w:val="0"/>
          <w:sz w:val="22"/>
          <w:u w:val="single"/>
        </w:rPr>
        <w:t xml:space="preserve">the </w:t>
      </w:r>
      <w:r>
        <w:rPr>
          <w:b/>
          <w:i w:val="0"/>
          <w:smallCaps w:val="0"/>
          <w:strike w:val="0"/>
          <w:sz w:val="22"/>
          <w:u w:val="single"/>
        </w:rPr>
        <w:t>Executive</w:t>
      </w:r>
      <w:r>
        <w:rPr>
          <w:b w:val="0"/>
          <w:i w:val="0"/>
          <w:smallCaps w:val="0"/>
          <w:strike w:val="0"/>
          <w:sz w:val="16"/>
          <w:u w:val="none"/>
        </w:rPr>
        <w:t xml:space="preserve"> Branch </w:t>
      </w:r>
      <w:r>
        <w:rPr>
          <w:b w:val="0"/>
          <w:i w:val="0"/>
          <w:smallCaps w:val="0"/>
          <w:strike w:val="0"/>
          <w:sz w:val="22"/>
          <w:u w:val="single"/>
        </w:rPr>
        <w:t xml:space="preserve">can </w:t>
      </w:r>
      <w:r>
        <w:rPr>
          <w:b/>
          <w:i w:val="0"/>
          <w:smallCaps w:val="0"/>
          <w:strike w:val="0"/>
          <w:sz w:val="22"/>
          <w:u w:val="single"/>
        </w:rPr>
        <w:t>sidestep</w:t>
      </w:r>
      <w:r>
        <w:rPr>
          <w:b w:val="0"/>
          <w:i w:val="0"/>
          <w:smallCaps w:val="0"/>
          <w:strike w:val="0"/>
          <w:sz w:val="22"/>
          <w:u w:val="single"/>
        </w:rPr>
        <w:t xml:space="preserve"> </w:t>
      </w:r>
      <w:r>
        <w:rPr>
          <w:b/>
          <w:i w:val="0"/>
          <w:smallCaps w:val="0"/>
          <w:strike w:val="0"/>
          <w:sz w:val="22"/>
          <w:u w:val="single"/>
        </w:rPr>
        <w:t>Congress</w:t>
      </w:r>
      <w:r>
        <w:rPr>
          <w:b w:val="0"/>
          <w:i w:val="0"/>
          <w:smallCaps w:val="0"/>
          <w:strike w:val="0"/>
          <w:sz w:val="22"/>
          <w:u w:val="single"/>
        </w:rPr>
        <w:t xml:space="preserve"> and accomplish many policy objectives through agency rulemakings</w:t>
      </w:r>
      <w:r>
        <w:rPr>
          <w:b w:val="0"/>
          <w:i w:val="0"/>
          <w:smallCaps w:val="0"/>
          <w:strike w:val="0"/>
          <w:sz w:val="16"/>
          <w:u w:val="none"/>
        </w:rPr>
        <w:t xml:space="preserve"> and enforcement actions </w:t>
      </w:r>
      <w:r>
        <w:rPr>
          <w:b w:val="0"/>
          <w:i w:val="0"/>
          <w:smallCaps w:val="0"/>
          <w:strike w:val="0"/>
          <w:sz w:val="22"/>
          <w:u w:val="single"/>
        </w:rPr>
        <w:t>without authorization by Congress</w:t>
      </w:r>
      <w:r>
        <w:rPr>
          <w:b w:val="0"/>
          <w:i w:val="0"/>
          <w:smallCaps w:val="0"/>
          <w:strike w:val="0"/>
          <w:sz w:val="16"/>
          <w:u w:val="none"/>
        </w:rPr>
        <w:t xml:space="preserve">. Cf. Biden v. Nebraska, 143 S. Ct. 2355, 2374 (2023) (“The Secretary’s assertion of administrative authority has conveniently enabled him to enact a program that Congress has chosen not to enact itself.” (brackets and quotation marks </w:t>
      </w:r>
      <w:r>
        <w:rPr>
          <w:b w:val="0"/>
          <w:i w:val="0"/>
          <w:smallCaps w:val="0"/>
          <w:strike w:val="0"/>
          <w:sz w:val="16"/>
          <w:u w:val="none"/>
        </w:rPr>
        <w:t>omitted))</w:t>
      </w:r>
      <w:r>
        <w:rPr>
          <w:b w:val="0"/>
          <w:i w:val="0"/>
          <w:smallCaps w:val="0"/>
          <w:strike w:val="0"/>
          <w:sz w:val="16"/>
          <w:u w:val="none"/>
        </w:rPr>
        <w:t xml:space="preserve">. And </w:t>
      </w:r>
      <w:r>
        <w:rPr>
          <w:b w:val="0"/>
          <w:i w:val="0"/>
          <w:smallCaps w:val="0"/>
          <w:strike w:val="0"/>
          <w:sz w:val="22"/>
          <w:highlight w:val="cyan"/>
          <w:u w:val="single"/>
        </w:rPr>
        <w:t>Congress</w:t>
      </w:r>
      <w:r>
        <w:rPr>
          <w:b w:val="0"/>
          <w:i w:val="0"/>
          <w:smallCaps w:val="0"/>
          <w:strike w:val="0"/>
          <w:sz w:val="16"/>
          <w:u w:val="none"/>
        </w:rPr>
        <w:t xml:space="preserve">, for its part, </w:t>
      </w:r>
      <w:r>
        <w:rPr>
          <w:b w:val="0"/>
          <w:i w:val="0"/>
          <w:smallCaps w:val="0"/>
          <w:strike w:val="0"/>
          <w:sz w:val="22"/>
          <w:highlight w:val="cyan"/>
          <w:u w:val="single"/>
        </w:rPr>
        <w:t xml:space="preserve">is </w:t>
      </w:r>
      <w:r>
        <w:rPr>
          <w:b/>
          <w:i w:val="0"/>
          <w:smallCaps w:val="0"/>
          <w:strike w:val="0"/>
          <w:sz w:val="22"/>
          <w:highlight w:val="cyan"/>
          <w:u w:val="single"/>
        </w:rPr>
        <w:t>incentivized</w:t>
      </w:r>
      <w:r>
        <w:rPr>
          <w:b w:val="0"/>
          <w:i w:val="0"/>
          <w:smallCaps w:val="0"/>
          <w:strike w:val="0"/>
          <w:sz w:val="22"/>
          <w:highlight w:val="cyan"/>
          <w:u w:val="single"/>
        </w:rPr>
        <w:t xml:space="preserve"> to write statutes that </w:t>
      </w:r>
      <w:r>
        <w:rPr>
          <w:b/>
          <w:i w:val="0"/>
          <w:smallCaps w:val="0"/>
          <w:strike w:val="0"/>
          <w:sz w:val="22"/>
          <w:highlight w:val="cyan"/>
          <w:u w:val="single"/>
        </w:rPr>
        <w:t>deflect</w:t>
      </w:r>
      <w:r>
        <w:rPr>
          <w:b w:val="0"/>
          <w:i w:val="0"/>
          <w:smallCaps w:val="0"/>
          <w:strike w:val="0"/>
          <w:sz w:val="16"/>
          <w:u w:val="none"/>
        </w:rPr>
        <w:t xml:space="preserve"> political heat and </w:t>
      </w:r>
      <w:r>
        <w:rPr>
          <w:b/>
          <w:i w:val="0"/>
          <w:smallCaps w:val="0"/>
          <w:strike w:val="0"/>
          <w:sz w:val="22"/>
          <w:highlight w:val="cyan"/>
          <w:u w:val="single"/>
        </w:rPr>
        <w:t>judicial scrutiny</w:t>
      </w:r>
      <w:r>
        <w:rPr>
          <w:b w:val="0"/>
          <w:i w:val="0"/>
          <w:smallCaps w:val="0"/>
          <w:strike w:val="0"/>
          <w:sz w:val="16"/>
          <w:u w:val="none"/>
        </w:rPr>
        <w:t xml:space="preserve">, </w:t>
      </w:r>
      <w:r>
        <w:rPr>
          <w:b w:val="0"/>
          <w:i w:val="0"/>
          <w:smallCaps w:val="0"/>
          <w:strike w:val="0"/>
          <w:sz w:val="22"/>
          <w:u w:val="single"/>
        </w:rPr>
        <w:t>knowing that agencies can seize upon vaguely worded</w:t>
      </w:r>
      <w:r>
        <w:rPr>
          <w:b w:val="0"/>
          <w:i w:val="0"/>
          <w:smallCaps w:val="0"/>
          <w:strike w:val="0"/>
          <w:sz w:val="16"/>
          <w:u w:val="none"/>
        </w:rPr>
        <w:t xml:space="preserve"> or poorly drafted </w:t>
      </w:r>
      <w:r>
        <w:rPr>
          <w:b w:val="0"/>
          <w:i w:val="0"/>
          <w:smallCaps w:val="0"/>
          <w:strike w:val="0"/>
          <w:sz w:val="22"/>
          <w:u w:val="single"/>
        </w:rPr>
        <w:t>provisions to adopt rules that enjoy unique leeway in the courts</w:t>
      </w:r>
      <w:r>
        <w:rPr>
          <w:b w:val="0"/>
          <w:i w:val="0"/>
          <w:smallCaps w:val="0"/>
          <w:strike w:val="0"/>
          <w:sz w:val="16"/>
          <w:u w:val="none"/>
        </w:rPr>
        <w:t xml:space="preserve"> and will still be treated as having the “‘force and effect of law.’” Perez v. </w:t>
      </w:r>
      <w:r>
        <w:rPr>
          <w:b w:val="0"/>
          <w:i w:val="0"/>
          <w:smallCaps w:val="0"/>
          <w:strike w:val="0"/>
          <w:sz w:val="16"/>
          <w:u w:val="none"/>
        </w:rPr>
        <w:t>Mortg</w:t>
      </w:r>
      <w:r>
        <w:rPr>
          <w:b w:val="0"/>
          <w:i w:val="0"/>
          <w:smallCaps w:val="0"/>
          <w:strike w:val="0"/>
          <w:sz w:val="16"/>
          <w:u w:val="none"/>
        </w:rPr>
        <w:t xml:space="preserve">. Bankers </w:t>
      </w:r>
      <w:r>
        <w:rPr>
          <w:b w:val="0"/>
          <w:i w:val="0"/>
          <w:smallCaps w:val="0"/>
          <w:strike w:val="0"/>
          <w:sz w:val="16"/>
          <w:u w:val="none"/>
        </w:rPr>
        <w:t>Ass’n</w:t>
      </w:r>
      <w:r>
        <w:rPr>
          <w:b w:val="0"/>
          <w:i w:val="0"/>
          <w:smallCaps w:val="0"/>
          <w:strike w:val="0"/>
          <w:sz w:val="16"/>
          <w:u w:val="none"/>
        </w:rPr>
        <w:t xml:space="preserve">, 575 U.S. 92, 96 (2015) (citation omitted). The combined effect of these strategic interests reverses the constitutional allocation of legislative power: </w:t>
      </w:r>
      <w:r>
        <w:rPr>
          <w:b w:val="0"/>
          <w:i w:val="0"/>
          <w:smallCaps w:val="0"/>
          <w:strike w:val="0"/>
          <w:sz w:val="22"/>
          <w:u w:val="single"/>
        </w:rPr>
        <w:t xml:space="preserve">The </w:t>
      </w:r>
      <w:r>
        <w:rPr>
          <w:b/>
          <w:i w:val="0"/>
          <w:smallCaps w:val="0"/>
          <w:strike w:val="0"/>
          <w:sz w:val="22"/>
          <w:highlight w:val="cyan"/>
          <w:u w:val="single"/>
        </w:rPr>
        <w:t>Executive</w:t>
      </w:r>
      <w:r>
        <w:rPr>
          <w:b w:val="0"/>
          <w:i w:val="0"/>
          <w:smallCaps w:val="0"/>
          <w:strike w:val="0"/>
          <w:sz w:val="22"/>
          <w:highlight w:val="cyan"/>
          <w:u w:val="single"/>
        </w:rPr>
        <w:t xml:space="preserve"> becomes the </w:t>
      </w:r>
      <w:r>
        <w:rPr>
          <w:b/>
          <w:i w:val="0"/>
          <w:smallCaps w:val="0"/>
          <w:strike w:val="0"/>
          <w:sz w:val="22"/>
          <w:highlight w:val="cyan"/>
          <w:u w:val="single"/>
        </w:rPr>
        <w:t>primary</w:t>
      </w:r>
      <w:r>
        <w:rPr>
          <w:b w:val="0"/>
          <w:i w:val="0"/>
          <w:smallCaps w:val="0"/>
          <w:strike w:val="0"/>
          <w:sz w:val="22"/>
          <w:highlight w:val="cyan"/>
          <w:u w:val="single"/>
        </w:rPr>
        <w:t xml:space="preserve"> engine of new</w:t>
      </w:r>
      <w:r>
        <w:rPr>
          <w:b w:val="0"/>
          <w:i w:val="0"/>
          <w:smallCaps w:val="0"/>
          <w:strike w:val="0"/>
          <w:sz w:val="16"/>
          <w:highlight w:val="cyan"/>
          <w:u w:val="none"/>
        </w:rPr>
        <w:t xml:space="preserve"> “</w:t>
      </w:r>
      <w:r>
        <w:rPr>
          <w:b w:val="0"/>
          <w:i w:val="0"/>
          <w:smallCaps w:val="0"/>
          <w:strike w:val="0"/>
          <w:sz w:val="22"/>
          <w:highlight w:val="cyan"/>
          <w:u w:val="single"/>
        </w:rPr>
        <w:t>laws</w:t>
      </w:r>
      <w:r>
        <w:rPr>
          <w:b w:val="0"/>
          <w:i w:val="0"/>
          <w:smallCaps w:val="0"/>
          <w:strike w:val="0"/>
          <w:sz w:val="16"/>
          <w:u w:val="none"/>
        </w:rPr>
        <w:t xml:space="preserve">,” and—so long as the President supports those decisions— </w:t>
      </w:r>
      <w:r>
        <w:rPr>
          <w:b w:val="0"/>
          <w:i w:val="0"/>
          <w:smallCaps w:val="0"/>
          <w:strike w:val="0"/>
          <w:sz w:val="22"/>
          <w:u w:val="single"/>
        </w:rPr>
        <w:t>future</w:t>
      </w:r>
      <w:r>
        <w:rPr>
          <w:b w:val="0"/>
          <w:i w:val="0"/>
          <w:smallCaps w:val="0"/>
          <w:strike w:val="0"/>
          <w:sz w:val="22"/>
          <w:u w:val="single"/>
        </w:rPr>
        <w:t xml:space="preserve"> </w:t>
      </w:r>
      <w:r>
        <w:rPr>
          <w:b w:val="0"/>
          <w:i w:val="0"/>
          <w:smallCaps w:val="0"/>
          <w:strike w:val="0"/>
          <w:sz w:val="22"/>
          <w:highlight w:val="cyan"/>
          <w:u w:val="single"/>
        </w:rPr>
        <w:t>congres</w:t>
      </w:r>
      <w:r>
        <w:rPr>
          <w:b w:val="0"/>
          <w:i w:val="0"/>
          <w:smallCaps w:val="0"/>
          <w:strike w:val="0"/>
          <w:sz w:val="22"/>
          <w:u w:val="single"/>
        </w:rPr>
        <w:t xml:space="preserve">sional majorities </w:t>
      </w:r>
      <w:r>
        <w:rPr>
          <w:b/>
          <w:i w:val="0"/>
          <w:smallCaps w:val="0"/>
          <w:strike w:val="0"/>
          <w:sz w:val="22"/>
          <w:highlight w:val="cyan"/>
          <w:u w:val="single"/>
        </w:rPr>
        <w:t>cannot</w:t>
      </w:r>
      <w:r>
        <w:rPr>
          <w:b w:val="0"/>
          <w:i w:val="0"/>
          <w:smallCaps w:val="0"/>
          <w:strike w:val="0"/>
          <w:sz w:val="22"/>
          <w:highlight w:val="cyan"/>
          <w:u w:val="single"/>
        </w:rPr>
        <w:t xml:space="preserve"> </w:t>
      </w:r>
      <w:r>
        <w:rPr>
          <w:b/>
          <w:i w:val="0"/>
          <w:smallCaps w:val="0"/>
          <w:strike w:val="0"/>
          <w:sz w:val="22"/>
          <w:highlight w:val="cyan"/>
          <w:u w:val="single"/>
        </w:rPr>
        <w:t>undo</w:t>
      </w:r>
      <w:r>
        <w:rPr>
          <w:b w:val="0"/>
          <w:i w:val="0"/>
          <w:smallCaps w:val="0"/>
          <w:strike w:val="0"/>
          <w:sz w:val="22"/>
          <w:highlight w:val="cyan"/>
          <w:u w:val="single"/>
        </w:rPr>
        <w:t xml:space="preserve"> them without</w:t>
      </w:r>
      <w:r>
        <w:rPr>
          <w:b w:val="0"/>
          <w:i w:val="0"/>
          <w:smallCaps w:val="0"/>
          <w:strike w:val="0"/>
          <w:sz w:val="22"/>
          <w:u w:val="single"/>
        </w:rPr>
        <w:t xml:space="preserve"> mustering </w:t>
      </w:r>
      <w:r>
        <w:rPr>
          <w:b w:val="0"/>
          <w:i w:val="0"/>
          <w:smallCaps w:val="0"/>
          <w:strike w:val="0"/>
          <w:sz w:val="22"/>
          <w:highlight w:val="cyan"/>
          <w:u w:val="single"/>
        </w:rPr>
        <w:t xml:space="preserve">a </w:t>
      </w:r>
      <w:r>
        <w:rPr>
          <w:b/>
          <w:i w:val="0"/>
          <w:smallCaps w:val="0"/>
          <w:strike w:val="0"/>
          <w:sz w:val="22"/>
          <w:highlight w:val="cyan"/>
          <w:u w:val="single"/>
        </w:rPr>
        <w:t>supermajority</w:t>
      </w:r>
      <w:r>
        <w:rPr>
          <w:b w:val="0"/>
          <w:i w:val="0"/>
          <w:smallCaps w:val="0"/>
          <w:strike w:val="0"/>
          <w:sz w:val="22"/>
          <w:u w:val="single"/>
        </w:rPr>
        <w:t xml:space="preserve"> to enact new legislation </w:t>
      </w:r>
      <w:r>
        <w:rPr>
          <w:b w:val="0"/>
          <w:i w:val="0"/>
          <w:smallCaps w:val="0"/>
          <w:strike w:val="0"/>
          <w:sz w:val="22"/>
          <w:u w:val="single"/>
        </w:rPr>
        <w:t xml:space="preserve">that can </w:t>
      </w:r>
      <w:r>
        <w:rPr>
          <w:b/>
          <w:i w:val="0"/>
          <w:smallCaps w:val="0"/>
          <w:strike w:val="0"/>
          <w:sz w:val="22"/>
          <w:u w:val="single"/>
        </w:rPr>
        <w:t>override</w:t>
      </w:r>
      <w:r>
        <w:rPr>
          <w:b w:val="0"/>
          <w:i w:val="0"/>
          <w:smallCaps w:val="0"/>
          <w:strike w:val="0"/>
          <w:sz w:val="22"/>
          <w:u w:val="single"/>
        </w:rPr>
        <w:t xml:space="preserve"> the President’s </w:t>
      </w:r>
      <w:r>
        <w:rPr>
          <w:b/>
          <w:i w:val="0"/>
          <w:smallCaps w:val="0"/>
          <w:strike w:val="0"/>
          <w:sz w:val="22"/>
          <w:u w:val="single"/>
        </w:rPr>
        <w:t>veto</w:t>
      </w:r>
      <w:r>
        <w:rPr>
          <w:b w:val="0"/>
          <w:i w:val="0"/>
          <w:smallCaps w:val="0"/>
          <w:strike w:val="0"/>
          <w:sz w:val="16"/>
          <w:u w:val="none"/>
        </w:rPr>
        <w:t xml:space="preserve">. </w:t>
      </w:r>
      <w:r>
        <w:rPr>
          <w:b w:val="0"/>
          <w:i w:val="0"/>
          <w:smallCaps w:val="0"/>
          <w:strike w:val="0"/>
          <w:sz w:val="22"/>
          <w:u w:val="single"/>
        </w:rPr>
        <w:t>Particularly in a gridlocked government</w:t>
      </w:r>
      <w:r>
        <w:rPr>
          <w:b w:val="0"/>
          <w:i w:val="0"/>
          <w:smallCaps w:val="0"/>
          <w:strike w:val="0"/>
          <w:sz w:val="16"/>
          <w:u w:val="none"/>
        </w:rPr>
        <w:t xml:space="preserve">, </w:t>
      </w:r>
      <w:r>
        <w:rPr>
          <w:b w:val="0"/>
          <w:i w:val="0"/>
          <w:smallCaps w:val="0"/>
          <w:strike w:val="0"/>
          <w:sz w:val="22"/>
          <w:u w:val="single"/>
        </w:rPr>
        <w:t>that</w:t>
      </w:r>
      <w:r>
        <w:rPr>
          <w:b w:val="0"/>
          <w:i w:val="0"/>
          <w:smallCaps w:val="0"/>
          <w:strike w:val="0"/>
          <w:sz w:val="16"/>
          <w:u w:val="none"/>
        </w:rPr>
        <w:t xml:space="preserve"> “</w:t>
      </w:r>
      <w:r>
        <w:rPr>
          <w:b/>
          <w:i w:val="0"/>
          <w:smallCaps w:val="0"/>
          <w:strike w:val="0"/>
          <w:sz w:val="22"/>
          <w:u w:val="single"/>
        </w:rPr>
        <w:t>check</w:t>
      </w:r>
      <w:r>
        <w:rPr>
          <w:b w:val="0"/>
          <w:i w:val="0"/>
          <w:smallCaps w:val="0"/>
          <w:strike w:val="0"/>
          <w:sz w:val="16"/>
          <w:u w:val="none"/>
        </w:rPr>
        <w:t xml:space="preserve">” </w:t>
      </w:r>
      <w:r>
        <w:rPr>
          <w:b w:val="0"/>
          <w:i w:val="0"/>
          <w:smallCaps w:val="0"/>
          <w:strike w:val="0"/>
          <w:sz w:val="22"/>
          <w:u w:val="single"/>
        </w:rPr>
        <w:t>on Executive</w:t>
      </w:r>
      <w:r>
        <w:rPr>
          <w:b w:val="0"/>
          <w:i w:val="0"/>
          <w:smallCaps w:val="0"/>
          <w:strike w:val="0"/>
          <w:sz w:val="16"/>
          <w:u w:val="none"/>
        </w:rPr>
        <w:t xml:space="preserve"> lawmaking </w:t>
      </w:r>
      <w:r>
        <w:rPr>
          <w:b w:val="0"/>
          <w:i w:val="0"/>
          <w:smallCaps w:val="0"/>
          <w:strike w:val="0"/>
          <w:sz w:val="22"/>
          <w:u w:val="single"/>
        </w:rPr>
        <w:t xml:space="preserve">power is </w:t>
      </w:r>
      <w:r>
        <w:rPr>
          <w:b/>
          <w:i w:val="0"/>
          <w:smallCaps w:val="0"/>
          <w:strike w:val="0"/>
          <w:sz w:val="22"/>
          <w:u w:val="single"/>
        </w:rPr>
        <w:t>cold</w:t>
      </w:r>
      <w:r>
        <w:rPr>
          <w:b w:val="0"/>
          <w:i w:val="0"/>
          <w:smallCaps w:val="0"/>
          <w:strike w:val="0"/>
          <w:sz w:val="22"/>
          <w:u w:val="single"/>
        </w:rPr>
        <w:t xml:space="preserve"> </w:t>
      </w:r>
      <w:r>
        <w:rPr>
          <w:b/>
          <w:i w:val="0"/>
          <w:smallCaps w:val="0"/>
          <w:strike w:val="0"/>
          <w:sz w:val="22"/>
          <w:u w:val="single"/>
        </w:rPr>
        <w:t>comfort</w:t>
      </w:r>
      <w:r>
        <w:rPr>
          <w:b w:val="0"/>
          <w:i w:val="0"/>
          <w:smallCaps w:val="0"/>
          <w:strike w:val="0"/>
          <w:sz w:val="22"/>
          <w:u w:val="single"/>
        </w:rPr>
        <w:t xml:space="preserve"> for regulated entities</w:t>
      </w:r>
      <w:r>
        <w:rPr>
          <w:b w:val="0"/>
          <w:i w:val="0"/>
          <w:smallCaps w:val="0"/>
          <w:strike w:val="0"/>
          <w:sz w:val="16"/>
          <w:u w:val="none"/>
        </w:rPr>
        <w:t>.</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