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Chevron </w:t>
      </w:r>
      <w:r>
        <w:rPr>
          <w:b/>
          <w:i w:val="0"/>
          <w:smallCaps w:val="0"/>
          <w:strike w:val="0"/>
          <w:sz w:val="26"/>
          <w:u w:val="none"/>
        </w:rPr>
        <w:t>good</w:t>
      </w:r>
      <w:r>
        <w:rPr>
          <w:b/>
          <w:i w:val="0"/>
          <w:smallCaps w:val="0"/>
          <w:strike w:val="0"/>
          <w:sz w:val="26"/>
          <w:u w:val="none"/>
        </w:rPr>
        <w:t xml:space="preserve"> for small businesses.</w:t>
      </w:r>
      <w:r>
        <w:rPr>
          <w:b/>
          <w:i w:val="0"/>
          <w:smallCaps w:val="0"/>
          <w:strike w:val="0"/>
          <w:sz w:val="26"/>
          <w:u w:val="none"/>
        </w:rPr>
        <w:t xml:space="preserve"> It preserves </w:t>
      </w:r>
      <w:r>
        <w:rPr>
          <w:b/>
          <w:i w:val="0"/>
          <w:smallCaps w:val="0"/>
          <w:strike w:val="0"/>
          <w:sz w:val="26"/>
          <w:u w:val="none"/>
        </w:rPr>
        <w:t>certainty</w:t>
      </w:r>
      <w:r>
        <w:rPr>
          <w:b/>
          <w:i w:val="0"/>
          <w:smallCaps w:val="0"/>
          <w:strike w:val="0"/>
          <w:sz w:val="26"/>
          <w:u w:val="none"/>
        </w:rPr>
        <w:t xml:space="preserve"> necessary for investment decisions.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Dubner et al. 23</w:t>
      </w:r>
      <w:r>
        <w:rPr>
          <w:b w:val="0"/>
          <w:i w:val="0"/>
          <w:smallCaps w:val="0"/>
          <w:strike w:val="0"/>
          <w:u w:val="none"/>
        </w:rPr>
        <w:t xml:space="preserve"> [Jeffrey Dubner is a Chief Counsel at the Office of Commissioner </w:t>
      </w:r>
      <w:r>
        <w:rPr>
          <w:b w:val="0"/>
          <w:i w:val="0"/>
          <w:smallCaps w:val="0"/>
          <w:strike w:val="0"/>
          <w:u w:val="none"/>
        </w:rPr>
        <w:t>Kotagal</w:t>
      </w:r>
      <w:r>
        <w:rPr>
          <w:b w:val="0"/>
          <w:i w:val="0"/>
          <w:smallCaps w:val="0"/>
          <w:strike w:val="0"/>
          <w:u w:val="none"/>
        </w:rPr>
        <w:t xml:space="preserve">, Equal Employment Opportunity Commission, and a Legal Director at Democracy Forward Foundation, </w:t>
      </w:r>
      <w:r>
        <w:rPr>
          <w:b w:val="0"/>
          <w:i w:val="0"/>
          <w:smallCaps w:val="0"/>
          <w:strike w:val="0"/>
          <w:u w:val="none"/>
        </w:rPr>
        <w:t>, a nonpartisan, national legal organization</w:t>
      </w:r>
      <w:r>
        <w:rPr>
          <w:b w:val="0"/>
          <w:i w:val="0"/>
          <w:smallCaps w:val="0"/>
          <w:strike w:val="0"/>
          <w:u w:val="none"/>
        </w:rPr>
        <w:t>; *</w:t>
      </w:r>
      <w:r>
        <w:rPr>
          <w:b w:val="0"/>
          <w:i w:val="0"/>
          <w:smallCaps w:val="0"/>
          <w:strike w:val="0"/>
          <w:u w:val="none"/>
        </w:rPr>
        <w:t xml:space="preserve">Kaitlyn Golden </w:t>
      </w:r>
      <w:r>
        <w:rPr>
          <w:b w:val="0"/>
          <w:i w:val="0"/>
          <w:smallCaps w:val="0"/>
          <w:strike w:val="0"/>
          <w:u w:val="none"/>
        </w:rPr>
        <w:t xml:space="preserve">is a </w:t>
      </w:r>
      <w:r>
        <w:rPr>
          <w:b w:val="0"/>
          <w:i w:val="0"/>
          <w:smallCaps w:val="0"/>
          <w:strike w:val="0"/>
          <w:u w:val="none"/>
        </w:rPr>
        <w:t>Senior Counsel</w:t>
      </w:r>
      <w:r>
        <w:rPr>
          <w:b w:val="0"/>
          <w:i w:val="0"/>
          <w:smallCaps w:val="0"/>
          <w:strike w:val="0"/>
          <w:u w:val="none"/>
        </w:rPr>
        <w:t xml:space="preserve"> at Democracy Forward Foundation; **</w:t>
      </w:r>
      <w:r>
        <w:rPr>
          <w:b w:val="0"/>
          <w:i w:val="0"/>
          <w:smallCaps w:val="0"/>
          <w:strike w:val="0"/>
          <w:u w:val="none"/>
        </w:rPr>
        <w:t xml:space="preserve"> Skye Perryman</w:t>
      </w:r>
      <w:r>
        <w:rPr>
          <w:b w:val="0"/>
          <w:i w:val="0"/>
          <w:smallCaps w:val="0"/>
          <w:strike w:val="0"/>
          <w:u w:val="none"/>
        </w:rPr>
        <w:t xml:space="preserve"> is president and co-founder of Democracy Forward Foundation; On Writ of Certiorari to the United States Court of Appeals for the District of Columbia Circuit; No. 22-451; 9/22/24; “BRIEF OF SMALL BUSINESS ASSOCIATIONS AS AMICI CURIAE IN SUPPORT OF RESPONDENTS”; </w:t>
      </w:r>
      <w:r>
        <w:rPr>
          <w:b w:val="0"/>
          <w:i w:val="0"/>
          <w:smallCaps w:val="0"/>
          <w:strike w:val="0"/>
          <w:u w:val="none"/>
        </w:rPr>
        <w:t>https://www.supremecourt.gov/DocketPDF/22/22-451/280229/20230922133356720_Amicus%20Brief%20of%20Small%20Business%20Associations.pdf</w:t>
      </w:r>
      <w:r>
        <w:rPr>
          <w:b w:val="0"/>
          <w:i w:val="0"/>
          <w:smallCaps w:val="0"/>
          <w:strike w:val="0"/>
          <w:u w:val="none"/>
        </w:rPr>
        <w:t>; Accessed 6/29/24]//</w:t>
      </w:r>
      <w:r>
        <w:rPr>
          <w:b w:val="0"/>
          <w:i w:val="0"/>
          <w:smallCaps w:val="0"/>
          <w:strike w:val="0"/>
          <w:u w:val="none"/>
        </w:rPr>
        <w:t>maikle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For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small business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anything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reduces risk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increases stability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predictability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makes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opening,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survival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growth more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possible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consistent regulatory environment can provide the </w:t>
      </w:r>
      <w:r>
        <w:rPr>
          <w:b/>
          <w:i w:val="0"/>
          <w:smallCaps w:val="0"/>
          <w:strike w:val="0"/>
          <w:sz w:val="22"/>
          <w:u w:val="single"/>
        </w:rPr>
        <w:t>uniformity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predictability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small businesses need to </w:t>
      </w:r>
      <w:r>
        <w:rPr>
          <w:b/>
          <w:i w:val="0"/>
          <w:smallCaps w:val="0"/>
          <w:strike w:val="0"/>
          <w:sz w:val="22"/>
          <w:u w:val="single"/>
        </w:rPr>
        <w:t>thrive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When entrepreneurs know the rules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the playing field, </w:t>
      </w:r>
      <w:r>
        <w:rPr>
          <w:b w:val="0"/>
          <w:i w:val="0"/>
          <w:smallCaps w:val="0"/>
          <w:strike w:val="0"/>
          <w:sz w:val="22"/>
          <w:u w:val="single"/>
        </w:rPr>
        <w:t>they can determine the best next strategic move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for their business.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</w:t>
      </w:r>
      <w:r>
        <w:rPr>
          <w:b/>
          <w:i w:val="0"/>
          <w:smallCaps w:val="0"/>
          <w:strike w:val="0"/>
          <w:sz w:val="22"/>
          <w:u w:val="single"/>
        </w:rPr>
        <w:t>well-structured regulatory environment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put small businesses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on </w:t>
      </w:r>
      <w:r>
        <w:rPr>
          <w:b/>
          <w:i w:val="0"/>
          <w:smallCaps w:val="0"/>
          <w:strike w:val="0"/>
          <w:sz w:val="22"/>
          <w:u w:val="single"/>
        </w:rPr>
        <w:t>even</w:t>
      </w:r>
      <w:r>
        <w:rPr>
          <w:b/>
          <w:i w:val="0"/>
          <w:smallCaps w:val="0"/>
          <w:strike w:val="0"/>
          <w:sz w:val="22"/>
          <w:u w:val="single"/>
        </w:rPr>
        <w:t xml:space="preserve"> footing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big corporations</w:t>
      </w:r>
      <w:r>
        <w:rPr>
          <w:b w:val="0"/>
          <w:i w:val="0"/>
          <w:smallCaps w:val="0"/>
          <w:strike w:val="0"/>
          <w:sz w:val="16"/>
          <w:u w:val="none"/>
        </w:rPr>
        <w:t>, allowing Main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Street to be competitive with Wall Street.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Chevron deference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promotes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/>
          <w:i w:val="0"/>
          <w:smallCaps w:val="0"/>
          <w:strike w:val="0"/>
          <w:sz w:val="22"/>
          <w:u w:val="single"/>
        </w:rPr>
        <w:t xml:space="preserve">regulatory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certainty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By creating a stable framework for courts to use when evaluating the validity of regulations,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Chevron results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more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uniform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predictable interp</w:t>
      </w:r>
      <w:r>
        <w:rPr>
          <w:b/>
          <w:i w:val="0"/>
          <w:smallCaps w:val="0"/>
          <w:strike w:val="0"/>
          <w:sz w:val="22"/>
          <w:u w:val="single"/>
        </w:rPr>
        <w:t>retation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 regulations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Chevron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</w:t>
      </w:r>
      <w:r>
        <w:rPr>
          <w:b w:val="0"/>
          <w:i w:val="0"/>
          <w:smallCaps w:val="0"/>
          <w:strike w:val="0"/>
          <w:sz w:val="22"/>
          <w:u w:val="single"/>
        </w:rPr>
        <w:t>also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been shown to </w:t>
      </w:r>
      <w:r>
        <w:rPr>
          <w:b w:val="0"/>
          <w:i w:val="0"/>
          <w:smallCaps w:val="0"/>
          <w:strike w:val="0"/>
          <w:sz w:val="22"/>
          <w:u w:val="single"/>
        </w:rPr>
        <w:t>play a critical role 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constraining the judiciary,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ensuring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judiciary’s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policy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preferences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do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not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drive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regulatory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policy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Overturning this Court’s nearly 40-year precedent as outlined in Chevron, as requested by Petitioners, would create untenable uncertainty for the world of small business. This Court should decline the invitation to do so.</w:t>
      </w:r>
    </w:p>
    <w:p>
      <w:pPr>
        <w:pStyle w:val="Caption"/>
      </w:pPr>
      <w:r>
        <w:t>Source: Chevron CP - Michigan 7 2024 CFLMP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