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Chevron solves bad instance of delegation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Brian J.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Sutherland,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06</w:t>
      </w:r>
      <w:r>
        <w:rPr>
          <w:b w:val="0"/>
          <w:i w:val="0"/>
          <w:smallCaps w:val="0"/>
          <w:strike w:val="0"/>
          <w:color w:val="000000"/>
          <w:u w:val="none"/>
        </w:rPr>
        <w:t>, J.D. summa cum laude, Seattle University School of Law, “Killing Jim Crow and the Undead Nondelegation Doctrine with Privately Enforceable Federal Regulations”, https://digitalcommons.law.seattleu.edu/cgi/viewcontent.cgi?article=1874&amp;context=sulr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It is for these reasons that Professors Seidenfeld and Rossi favor judicial review of an agency rule after the interpretation of the statute has been made.3 °5 </w:t>
      </w:r>
      <w:r>
        <w:rPr>
          <w:b w:val="0"/>
          <w:i w:val="0"/>
          <w:smallCaps w:val="0"/>
          <w:strike w:val="0"/>
          <w:color w:val="000000"/>
          <w:u w:val="single"/>
        </w:rPr>
        <w:t>Judicial review of agency rulemaking that utilizes various canons of construction, including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Chevron doctrine, is very effective at limiting the scope of congressional delegation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30 6 Indeed, </w:t>
      </w:r>
      <w:r>
        <w:rPr>
          <w:b w:val="0"/>
          <w:i w:val="0"/>
          <w:smallCaps w:val="0"/>
          <w:strike w:val="0"/>
          <w:color w:val="000000"/>
          <w:u w:val="single"/>
        </w:rPr>
        <w:t>Chevron operates in the same way the "new" nondelegation doctrine would,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upholding exercises of agency discretion if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they are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reasonable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.30 7 </w:t>
      </w:r>
      <w:r>
        <w:rPr>
          <w:b w:val="0"/>
          <w:i w:val="0"/>
          <w:smallCaps w:val="0"/>
          <w:strike w:val="0"/>
          <w:color w:val="000000"/>
          <w:u w:val="single"/>
        </w:rPr>
        <w:t>Chevron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thus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in a very real sense, </w:t>
      </w:r>
      <w:r>
        <w:rPr>
          <w:b w:val="0"/>
          <w:i w:val="0"/>
          <w:smallCaps w:val="0"/>
          <w:strike w:val="0"/>
          <w:color w:val="000000"/>
          <w:u w:val="single"/>
        </w:rPr>
        <w:t>a better answer 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problem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delegation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for two reasons. </w:t>
      </w:r>
      <w:r>
        <w:rPr>
          <w:b w:val="0"/>
          <w:i w:val="0"/>
          <w:smallCaps w:val="0"/>
          <w:strike w:val="0"/>
          <w:color w:val="000000"/>
          <w:u w:val="single"/>
        </w:rPr>
        <w:t>First,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unlike the "old" nondelegation doctrine, it is judicially enforceable because it is principled analysis rather than an arbitrary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"</w:t>
      </w:r>
      <w:r>
        <w:rPr>
          <w:b w:val="0"/>
          <w:i w:val="0"/>
          <w:smallCaps w:val="0"/>
          <w:strike w:val="0"/>
          <w:color w:val="000000"/>
          <w:u w:val="single"/>
        </w:rPr>
        <w:t>Iknow</w:t>
      </w:r>
      <w:r>
        <w:rPr>
          <w:b w:val="0"/>
          <w:i w:val="0"/>
          <w:smallCaps w:val="0"/>
          <w:strike w:val="0"/>
          <w:color w:val="000000"/>
          <w:u w:val="single"/>
        </w:rPr>
        <w:t>-it-when-l-see-it"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approach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to </w:t>
      </w:r>
      <w:r>
        <w:rPr>
          <w:b w:val="0"/>
          <w:i w:val="0"/>
          <w:smallCaps w:val="0"/>
          <w:strike w:val="0"/>
          <w:color w:val="000000"/>
          <w:u w:val="none"/>
        </w:rPr>
        <w:t>grants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excessive discretionary authority. </w:t>
      </w:r>
      <w:r>
        <w:rPr>
          <w:b w:val="0"/>
          <w:i w:val="0"/>
          <w:smallCaps w:val="0"/>
          <w:strike w:val="0"/>
          <w:color w:val="000000"/>
          <w:u w:val="single"/>
        </w:rPr>
        <w:t>Second,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unlike the "new" doctrine, it is meaningful, </w:t>
      </w:r>
      <w:r>
        <w:rPr>
          <w:b w:val="0"/>
          <w:i w:val="0"/>
          <w:smallCaps w:val="0"/>
          <w:strike w:val="0"/>
          <w:color w:val="000000"/>
          <w:u w:val="single"/>
        </w:rPr>
        <w:t>after-the-fact review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of agency action 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neither sacrifices accountability or flexibility</w:t>
      </w:r>
      <w:r>
        <w:rPr>
          <w:b w:val="0"/>
          <w:i w:val="0"/>
          <w:smallCaps w:val="0"/>
          <w:strike w:val="0"/>
          <w:color w:val="000000"/>
          <w:u w:val="single"/>
        </w:rPr>
        <w:t>, nor places an agency in the position of exercising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discretion that is forbidden in the first place</w:t>
      </w:r>
      <w:r>
        <w:rPr>
          <w:b w:val="0"/>
          <w:i w:val="0"/>
          <w:smallCaps w:val="0"/>
          <w:strike w:val="0"/>
          <w:color w:val="000000"/>
          <w:u w:val="none"/>
        </w:rPr>
        <w:t>.30 8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