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Chevron is bad, it kills the rule of law and was already being ignored---zeroes their impact</w:t>
      </w:r>
    </w:p>
    <w:p>
      <w:pPr>
        <w:spacing w:after="80"/>
      </w:pPr>
      <w:r>
        <w:rPr>
          <w:b w:val="0"/>
          <w:i w:val="0"/>
          <w:smallCaps w:val="0"/>
          <w:strike w:val="0"/>
          <w:u w:val="none"/>
        </w:rPr>
        <w:t xml:space="preserve">Carrie Campbell </w:t>
      </w:r>
      <w:r>
        <w:rPr>
          <w:b/>
          <w:i w:val="0"/>
          <w:smallCaps w:val="0"/>
          <w:strike w:val="0"/>
          <w:sz w:val="26"/>
          <w:u w:val="none"/>
        </w:rPr>
        <w:t>Severino</w:t>
      </w:r>
      <w:r>
        <w:rPr>
          <w:b/>
          <w:i w:val="0"/>
          <w:smallCaps w:val="0"/>
          <w:strike w:val="0"/>
          <w:sz w:val="26"/>
          <w:u w:val="none"/>
        </w:rPr>
        <w:t xml:space="preserve"> 7/1</w:t>
      </w:r>
      <w:r>
        <w:rPr>
          <w:b w:val="0"/>
          <w:i w:val="0"/>
          <w:smallCaps w:val="0"/>
          <w:strike w:val="0"/>
          <w:u w:val="none"/>
        </w:rPr>
        <w:t>, President of the Concord Fund, “</w:t>
      </w:r>
      <w:r>
        <w:rPr>
          <w:b w:val="0"/>
          <w:i w:val="0"/>
          <w:smallCaps w:val="0"/>
          <w:strike w:val="0"/>
          <w:u w:val="none"/>
        </w:rPr>
        <w:t>Overturning Chevron Is a Major Victory for the Rule of Law</w:t>
      </w:r>
      <w:r>
        <w:rPr>
          <w:b w:val="0"/>
          <w:i w:val="0"/>
          <w:smallCaps w:val="0"/>
          <w:strike w:val="0"/>
          <w:u w:val="none"/>
        </w:rPr>
        <w:t xml:space="preserve">”, </w:t>
      </w:r>
      <w:r>
        <w:rPr>
          <w:b w:val="0"/>
          <w:i/>
          <w:smallCaps w:val="0"/>
          <w:strike w:val="0"/>
          <w:u w:val="none"/>
        </w:rPr>
        <w:t>National Review</w:t>
      </w:r>
      <w:r>
        <w:rPr>
          <w:b w:val="0"/>
          <w:i w:val="0"/>
          <w:smallCaps w:val="0"/>
          <w:strike w:val="0"/>
          <w:u w:val="none"/>
        </w:rPr>
        <w:t xml:space="preserve">, July 1 2024, </w:t>
      </w:r>
      <w:r>
        <w:rPr>
          <w:b w:val="0"/>
          <w:i w:val="0"/>
          <w:smallCaps w:val="0"/>
          <w:strike w:val="0"/>
          <w:u w:val="none"/>
        </w:rPr>
        <w:t>, Accessed July 11 2024</w:t>
      </w:r>
    </w:p>
    <w:p>
      <w:pPr>
        <w:spacing w:after="60"/>
      </w:pPr>
      <w:r>
        <w:rPr>
          <w:b w:val="0"/>
          <w:i w:val="0"/>
          <w:smallCaps w:val="0"/>
          <w:strike w:val="0"/>
          <w:sz w:val="16"/>
          <w:u w:val="none"/>
        </w:rPr>
        <w:t xml:space="preserve">Good riddance to Chevron deference, which the Supreme Court overturned Friday in </w:t>
      </w:r>
      <w:r>
        <w:rPr>
          <w:b w:val="0"/>
          <w:i w:val="0"/>
          <w:smallCaps w:val="0"/>
          <w:strike w:val="0"/>
          <w:sz w:val="16"/>
          <w:u w:val="none"/>
        </w:rPr>
        <w:t xml:space="preserve">. For decades, judges cited the 1984 case </w:t>
      </w:r>
      <w:r>
        <w:rPr>
          <w:b w:val="0"/>
          <w:i w:val="0"/>
          <w:smallCaps w:val="0"/>
          <w:strike w:val="0"/>
          <w:sz w:val="16"/>
          <w:u w:val="none"/>
        </w:rPr>
        <w:t xml:space="preserve"> as an </w:t>
      </w:r>
      <w:r>
        <w:rPr>
          <w:b w:val="0"/>
          <w:i w:val="0"/>
          <w:smallCaps w:val="0"/>
          <w:strike w:val="0"/>
          <w:sz w:val="22"/>
          <w:u w:val="single"/>
        </w:rPr>
        <w:t>excuse for shifting their responsibility to federal agencies</w:t>
      </w:r>
      <w:r>
        <w:rPr>
          <w:b w:val="0"/>
          <w:i w:val="0"/>
          <w:smallCaps w:val="0"/>
          <w:strike w:val="0"/>
          <w:sz w:val="16"/>
          <w:u w:val="none"/>
        </w:rPr>
        <w:t xml:space="preserve">. Specifically, on questions of statutory interpretation, courts would defer to agencies where the statutory text is “silent or ambiguous” </w:t>
      </w:r>
      <w:r>
        <w:rPr>
          <w:b w:val="0"/>
          <w:i w:val="0"/>
          <w:smallCaps w:val="0"/>
          <w:strike w:val="0"/>
          <w:sz w:val="16"/>
          <w:u w:val="none"/>
        </w:rPr>
        <w:t>as long as</w:t>
      </w:r>
      <w:r>
        <w:rPr>
          <w:b w:val="0"/>
          <w:i w:val="0"/>
          <w:smallCaps w:val="0"/>
          <w:strike w:val="0"/>
          <w:sz w:val="16"/>
          <w:u w:val="none"/>
        </w:rPr>
        <w:t xml:space="preserve"> that interpretation “is based on a permissible construction of the statute.” </w:t>
      </w:r>
      <w:r>
        <w:rPr>
          <w:b w:val="0"/>
          <w:i w:val="0"/>
          <w:smallCaps w:val="0"/>
          <w:strike w:val="0"/>
          <w:sz w:val="22"/>
          <w:u w:val="single"/>
        </w:rPr>
        <w:t xml:space="preserve">That effectively meant putting a two-ton judicial thumb on the scale of government bureaucrats against the little guy. This </w:t>
      </w:r>
      <w:r>
        <w:rPr>
          <w:b w:val="0"/>
          <w:i w:val="0"/>
          <w:smallCaps w:val="0"/>
          <w:strike w:val="0"/>
          <w:sz w:val="22"/>
          <w:highlight w:val="cyan"/>
          <w:u w:val="single"/>
        </w:rPr>
        <w:t>latest decision</w:t>
      </w:r>
      <w:r>
        <w:rPr>
          <w:b w:val="0"/>
          <w:i w:val="0"/>
          <w:smallCaps w:val="0"/>
          <w:strike w:val="0"/>
          <w:sz w:val="22"/>
          <w:u w:val="single"/>
        </w:rPr>
        <w:t xml:space="preserve"> is </w:t>
      </w:r>
      <w:r>
        <w:rPr>
          <w:b w:val="0"/>
          <w:i w:val="0"/>
          <w:smallCaps w:val="0"/>
          <w:strike w:val="0"/>
          <w:sz w:val="22"/>
          <w:highlight w:val="cyan"/>
          <w:u w:val="single"/>
        </w:rPr>
        <w:t xml:space="preserve">a </w:t>
      </w:r>
      <w:r>
        <w:rPr>
          <w:b/>
          <w:i w:val="0"/>
          <w:smallCaps w:val="0"/>
          <w:strike w:val="0"/>
          <w:sz w:val="22"/>
          <w:u w:val="single"/>
        </w:rPr>
        <w:t xml:space="preserve">major </w:t>
      </w:r>
      <w:r>
        <w:rPr>
          <w:b/>
          <w:i w:val="0"/>
          <w:smallCaps w:val="0"/>
          <w:strike w:val="0"/>
          <w:sz w:val="22"/>
          <w:highlight w:val="cyan"/>
          <w:u w:val="single"/>
        </w:rPr>
        <w:t>victory for the rule of law</w:t>
      </w:r>
      <w:r>
        <w:rPr>
          <w:b/>
          <w:i w:val="0"/>
          <w:smallCaps w:val="0"/>
          <w:strike w:val="0"/>
          <w:sz w:val="22"/>
          <w:u w:val="single"/>
        </w:rPr>
        <w:t>.</w:t>
      </w:r>
    </w:p>
    <w:p>
      <w:pPr>
        <w:spacing w:after="60"/>
      </w:pPr>
      <w:r>
        <w:rPr>
          <w:b w:val="0"/>
          <w:i w:val="0"/>
          <w:smallCaps w:val="0"/>
          <w:strike w:val="0"/>
          <w:sz w:val="12"/>
          <w:u w:val="none"/>
        </w:rPr>
        <w:t>In these cases, the Magnuson-Stevens Fishery Conservation and Management Act requires certain categories of fishing vessels to carry and pay federal observers charged with enforcing agency regulations, subject to a salary cap at 2–3% of the value of the fish harvested on the vessels. But the National Marine Fisheries Service claimed without statutory authorization the right to force fishing boats to pay government monitor salaries of up to 20% of their revenues.</w:t>
      </w:r>
    </w:p>
    <w:p>
      <w:pPr>
        <w:spacing w:after="60"/>
      </w:pPr>
      <w:r>
        <w:rPr>
          <w:b w:val="0"/>
          <w:i w:val="0"/>
          <w:smallCaps w:val="0"/>
          <w:strike w:val="0"/>
          <w:sz w:val="16"/>
          <w:u w:val="none"/>
        </w:rPr>
        <w:t xml:space="preserve">Chief Justice John Roberts’ opinion for an </w:t>
      </w:r>
      <w:r>
        <w:rPr>
          <w:b w:val="0"/>
          <w:i w:val="0"/>
          <w:smallCaps w:val="0"/>
          <w:strike w:val="0"/>
          <w:sz w:val="22"/>
          <w:u w:val="single"/>
        </w:rPr>
        <w:t xml:space="preserve">ideologically split 6–3 Court </w:t>
      </w:r>
      <w:r>
        <w:rPr>
          <w:b w:val="0"/>
          <w:i w:val="0"/>
          <w:smallCaps w:val="0"/>
          <w:strike w:val="0"/>
          <w:sz w:val="22"/>
          <w:highlight w:val="cyan"/>
          <w:u w:val="single"/>
        </w:rPr>
        <w:t>worked from</w:t>
      </w:r>
      <w:r>
        <w:rPr>
          <w:b w:val="0"/>
          <w:i w:val="0"/>
          <w:smallCaps w:val="0"/>
          <w:strike w:val="0"/>
          <w:sz w:val="22"/>
          <w:u w:val="single"/>
        </w:rPr>
        <w:t xml:space="preserve"> </w:t>
      </w:r>
      <w:r>
        <w:rPr>
          <w:b/>
          <w:i w:val="0"/>
          <w:smallCaps w:val="0"/>
          <w:strike w:val="0"/>
          <w:sz w:val="22"/>
          <w:u w:val="single"/>
        </w:rPr>
        <w:t xml:space="preserve">first </w:t>
      </w:r>
      <w:r>
        <w:rPr>
          <w:b/>
          <w:i w:val="0"/>
          <w:smallCaps w:val="0"/>
          <w:strike w:val="0"/>
          <w:sz w:val="22"/>
          <w:highlight w:val="cyan"/>
          <w:u w:val="single"/>
        </w:rPr>
        <w:t>principles about the judicial role,</w:t>
      </w:r>
      <w:r>
        <w:rPr>
          <w:b w:val="0"/>
          <w:i w:val="0"/>
          <w:smallCaps w:val="0"/>
          <w:strike w:val="0"/>
          <w:sz w:val="16"/>
          <w:u w:val="none"/>
        </w:rPr>
        <w:t xml:space="preserve"> from Alexander Hamilton </w:t>
      </w:r>
      <w:r>
        <w:rPr>
          <w:b w:val="0"/>
          <w:i w:val="0"/>
          <w:smallCaps w:val="0"/>
          <w:strike w:val="0"/>
          <w:sz w:val="22"/>
          <w:highlight w:val="cyan"/>
          <w:u w:val="single"/>
        </w:rPr>
        <w:t>identifying</w:t>
      </w:r>
      <w:r>
        <w:rPr>
          <w:b w:val="0"/>
          <w:i w:val="0"/>
          <w:smallCaps w:val="0"/>
          <w:strike w:val="0"/>
          <w:sz w:val="22"/>
          <w:u w:val="single"/>
        </w:rPr>
        <w:t xml:space="preserve"> the final “interpretation of the laws” to be “the proper and peculiar province of the courts</w:t>
      </w:r>
      <w:r>
        <w:rPr>
          <w:b w:val="0"/>
          <w:i w:val="0"/>
          <w:smallCaps w:val="0"/>
          <w:strike w:val="0"/>
          <w:sz w:val="16"/>
          <w:u w:val="none"/>
        </w:rPr>
        <w:t xml:space="preserve">” in </w:t>
      </w:r>
      <w:r>
        <w:rPr>
          <w:b w:val="0"/>
          <w:i w:val="0"/>
          <w:smallCaps w:val="0"/>
          <w:strike w:val="0"/>
          <w:sz w:val="16"/>
          <w:u w:val="none"/>
        </w:rPr>
        <w:t xml:space="preserve"> to Chief Justice John Marshall’s famous axiom in </w:t>
      </w:r>
      <w:r>
        <w:rPr>
          <w:b w:val="0"/>
          <w:i w:val="0"/>
          <w:smallCaps w:val="0"/>
          <w:strike w:val="0"/>
          <w:sz w:val="16"/>
          <w:u w:val="none"/>
        </w:rPr>
        <w:t xml:space="preserve"> that “[</w:t>
      </w:r>
      <w:r>
        <w:rPr>
          <w:b w:val="0"/>
          <w:i w:val="0"/>
          <w:smallCaps w:val="0"/>
          <w:strike w:val="0"/>
          <w:sz w:val="16"/>
          <w:u w:val="none"/>
        </w:rPr>
        <w:t>i</w:t>
      </w:r>
      <w:r>
        <w:rPr>
          <w:b w:val="0"/>
          <w:i w:val="0"/>
          <w:smallCaps w:val="0"/>
          <w:strike w:val="0"/>
          <w:sz w:val="16"/>
          <w:u w:val="none"/>
        </w:rPr>
        <w:t xml:space="preserve">]t is </w:t>
      </w:r>
      <w:r>
        <w:rPr>
          <w:b w:val="0"/>
          <w:i w:val="0"/>
          <w:smallCaps w:val="0"/>
          <w:strike w:val="0"/>
          <w:sz w:val="22"/>
          <w:u w:val="single"/>
        </w:rPr>
        <w:t xml:space="preserve">emphatically </w:t>
      </w:r>
      <w:r>
        <w:rPr>
          <w:b w:val="0"/>
          <w:i w:val="0"/>
          <w:smallCaps w:val="0"/>
          <w:strike w:val="0"/>
          <w:sz w:val="22"/>
          <w:highlight w:val="cyan"/>
          <w:u w:val="single"/>
        </w:rPr>
        <w:t xml:space="preserve">the </w:t>
      </w:r>
      <w:r>
        <w:rPr>
          <w:b/>
          <w:i w:val="0"/>
          <w:smallCaps w:val="0"/>
          <w:strike w:val="0"/>
          <w:sz w:val="22"/>
          <w:highlight w:val="cyan"/>
          <w:u w:val="single"/>
        </w:rPr>
        <w:t>province and duty</w:t>
      </w:r>
      <w:r>
        <w:rPr>
          <w:b w:val="0"/>
          <w:i w:val="0"/>
          <w:smallCaps w:val="0"/>
          <w:strike w:val="0"/>
          <w:sz w:val="22"/>
          <w:highlight w:val="cyan"/>
          <w:u w:val="single"/>
        </w:rPr>
        <w:t xml:space="preserve"> of the</w:t>
      </w:r>
      <w:r>
        <w:rPr>
          <w:b w:val="0"/>
          <w:i w:val="0"/>
          <w:smallCaps w:val="0"/>
          <w:strike w:val="0"/>
          <w:sz w:val="22"/>
          <w:u w:val="single"/>
        </w:rPr>
        <w:t xml:space="preserve"> judicial </w:t>
      </w:r>
      <w:r>
        <w:rPr>
          <w:b w:val="0"/>
          <w:i w:val="0"/>
          <w:smallCaps w:val="0"/>
          <w:strike w:val="0"/>
          <w:sz w:val="22"/>
          <w:highlight w:val="cyan"/>
          <w:u w:val="single"/>
        </w:rPr>
        <w:t>department</w:t>
      </w:r>
      <w:r>
        <w:rPr>
          <w:b w:val="0"/>
          <w:i w:val="0"/>
          <w:smallCaps w:val="0"/>
          <w:strike w:val="0"/>
          <w:sz w:val="22"/>
          <w:u w:val="single"/>
        </w:rPr>
        <w:t xml:space="preserve"> to say what the law is</w:t>
      </w:r>
      <w:r>
        <w:rPr>
          <w:b w:val="0"/>
          <w:i w:val="0"/>
          <w:smallCaps w:val="0"/>
          <w:strike w:val="0"/>
          <w:sz w:val="16"/>
          <w:u w:val="none"/>
        </w:rPr>
        <w:t>.”</w:t>
      </w:r>
    </w:p>
    <w:p>
      <w:pPr>
        <w:spacing w:after="60"/>
      </w:pPr>
      <w:r>
        <w:rPr>
          <w:b w:val="0"/>
          <w:i w:val="0"/>
          <w:smallCaps w:val="0"/>
          <w:strike w:val="0"/>
          <w:sz w:val="16"/>
          <w:u w:val="none"/>
        </w:rPr>
        <w:t xml:space="preserve">Roberts traced the </w:t>
      </w:r>
      <w:r>
        <w:rPr>
          <w:b w:val="0"/>
          <w:i w:val="0"/>
          <w:smallCaps w:val="0"/>
          <w:strike w:val="0"/>
          <w:sz w:val="22"/>
          <w:u w:val="single"/>
        </w:rPr>
        <w:t>long pedigree of courts assuming their duty to interpret the law</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w:t>
      </w:r>
      <w:r>
        <w:rPr>
          <w:b/>
          <w:i w:val="0"/>
          <w:smallCaps w:val="0"/>
          <w:strike w:val="0"/>
          <w:sz w:val="22"/>
          <w:highlight w:val="cyan"/>
          <w:u w:val="single"/>
        </w:rPr>
        <w:t>did not mean agencies had nothing</w:t>
      </w:r>
      <w:r>
        <w:rPr>
          <w:b/>
          <w:i w:val="0"/>
          <w:smallCaps w:val="0"/>
          <w:strike w:val="0"/>
          <w:sz w:val="22"/>
          <w:u w:val="single"/>
        </w:rPr>
        <w:t xml:space="preserve"> to offer</w:t>
      </w:r>
      <w:r>
        <w:rPr>
          <w:b w:val="0"/>
          <w:i w:val="0"/>
          <w:smallCaps w:val="0"/>
          <w:strike w:val="0"/>
          <w:sz w:val="16"/>
          <w:u w:val="none"/>
        </w:rPr>
        <w:t xml:space="preserve">. Quoting the Court in </w:t>
      </w:r>
      <w:r>
        <w:rPr>
          <w:b w:val="0"/>
          <w:i w:val="0"/>
          <w:smallCaps w:val="0"/>
          <w:strike w:val="0"/>
          <w:sz w:val="22"/>
          <w:u w:val="single"/>
        </w:rPr>
        <w:t xml:space="preserve"> (1944), Roberts </w:t>
      </w:r>
      <w:r>
        <w:rPr>
          <w:b w:val="0"/>
          <w:i w:val="0"/>
          <w:smallCaps w:val="0"/>
          <w:strike w:val="0"/>
          <w:sz w:val="22"/>
          <w:highlight w:val="cyan"/>
          <w:u w:val="single"/>
        </w:rPr>
        <w:t>recognized</w:t>
      </w:r>
      <w:r>
        <w:rPr>
          <w:b w:val="0"/>
          <w:i w:val="0"/>
          <w:smallCaps w:val="0"/>
          <w:strike w:val="0"/>
          <w:sz w:val="22"/>
          <w:u w:val="single"/>
        </w:rPr>
        <w:t xml:space="preserve"> that </w:t>
      </w:r>
      <w:r>
        <w:rPr>
          <w:b w:val="0"/>
          <w:i w:val="0"/>
          <w:smallCaps w:val="0"/>
          <w:strike w:val="0"/>
          <w:sz w:val="22"/>
          <w:highlight w:val="cyan"/>
          <w:u w:val="single"/>
        </w:rPr>
        <w:t>agency interpretations “constitute</w:t>
      </w:r>
      <w:r>
        <w:rPr>
          <w:b w:val="0"/>
          <w:i w:val="0"/>
          <w:smallCaps w:val="0"/>
          <w:strike w:val="0"/>
          <w:sz w:val="22"/>
          <w:u w:val="single"/>
        </w:rPr>
        <w:t xml:space="preserve"> a body of </w:t>
      </w:r>
      <w:r>
        <w:rPr>
          <w:b w:val="0"/>
          <w:i w:val="0"/>
          <w:smallCaps w:val="0"/>
          <w:strike w:val="0"/>
          <w:sz w:val="22"/>
          <w:highlight w:val="cyan"/>
          <w:u w:val="single"/>
        </w:rPr>
        <w:t>experience</w:t>
      </w:r>
      <w:r>
        <w:rPr>
          <w:b w:val="0"/>
          <w:i w:val="0"/>
          <w:smallCaps w:val="0"/>
          <w:strike w:val="0"/>
          <w:sz w:val="22"/>
          <w:u w:val="single"/>
        </w:rPr>
        <w:t xml:space="preserve"> and informed judgment </w:t>
      </w:r>
      <w:r>
        <w:rPr>
          <w:b w:val="0"/>
          <w:i w:val="0"/>
          <w:smallCaps w:val="0"/>
          <w:strike w:val="0"/>
          <w:sz w:val="16"/>
          <w:u w:val="none"/>
        </w:rPr>
        <w:t xml:space="preserve">to which </w:t>
      </w:r>
      <w:r>
        <w:rPr>
          <w:b w:val="0"/>
          <w:i w:val="0"/>
          <w:smallCaps w:val="0"/>
          <w:strike w:val="0"/>
          <w:sz w:val="22"/>
          <w:u w:val="single"/>
        </w:rPr>
        <w:t>courts and litigants may properly resort for guidance</w:t>
      </w:r>
      <w:r>
        <w:rPr>
          <w:b w:val="0"/>
          <w:i w:val="0"/>
          <w:smallCaps w:val="0"/>
          <w:strike w:val="0"/>
          <w:sz w:val="16"/>
          <w:u w:val="none"/>
        </w:rPr>
        <w:t>.” This is part of the “</w:t>
      </w:r>
      <w:r>
        <w:rPr>
          <w:b w:val="0"/>
          <w:i w:val="0"/>
          <w:smallCaps w:val="0"/>
          <w:strike w:val="0"/>
          <w:sz w:val="22"/>
          <w:u w:val="single"/>
        </w:rPr>
        <w:t>traditional understanding of the judicial function” incorporated into the Administrative Procedure Act of 1946 that the Court recognizes, as is the obligation of judges</w:t>
      </w:r>
      <w:r>
        <w:rPr>
          <w:b w:val="0"/>
          <w:i w:val="0"/>
          <w:smallCaps w:val="0"/>
          <w:strike w:val="0"/>
          <w:sz w:val="16"/>
          <w:u w:val="none"/>
        </w:rPr>
        <w:t xml:space="preserve"> to retain their interpretive prerogative:</w:t>
      </w:r>
    </w:p>
    <w:p>
      <w:pPr>
        <w:spacing w:after="60"/>
      </w:pPr>
      <w:r>
        <w:rPr>
          <w:b w:val="0"/>
          <w:i w:val="0"/>
          <w:smallCaps w:val="0"/>
          <w:strike w:val="0"/>
          <w:sz w:val="16"/>
          <w:u w:val="none"/>
        </w:rPr>
        <w:t xml:space="preserve">The APA . . . codifies for agency cases the unremarkable, yet elemental proposition reflected by judicial practice </w:t>
      </w:r>
      <w:r>
        <w:rPr>
          <w:b w:val="0"/>
          <w:i w:val="0"/>
          <w:smallCaps w:val="0"/>
          <w:strike w:val="0"/>
          <w:sz w:val="22"/>
          <w:u w:val="single"/>
        </w:rPr>
        <w:t xml:space="preserve">dating back to </w:t>
      </w:r>
      <w:r>
        <w:rPr>
          <w:b w:val="0"/>
          <w:i w:val="0"/>
          <w:smallCaps w:val="0"/>
          <w:strike w:val="0"/>
          <w:sz w:val="22"/>
          <w:u w:val="single"/>
        </w:rPr>
        <w:t>Marbury</w:t>
      </w:r>
      <w:r>
        <w:rPr>
          <w:b w:val="0"/>
          <w:i w:val="0"/>
          <w:smallCaps w:val="0"/>
          <w:strike w:val="0"/>
          <w:sz w:val="22"/>
          <w:u w:val="single"/>
        </w:rPr>
        <w:t xml:space="preserve">: that </w:t>
      </w:r>
      <w:r>
        <w:rPr>
          <w:b w:val="0"/>
          <w:i w:val="0"/>
          <w:smallCaps w:val="0"/>
          <w:strike w:val="0"/>
          <w:sz w:val="22"/>
          <w:highlight w:val="cyan"/>
          <w:u w:val="single"/>
        </w:rPr>
        <w:t>courts decide</w:t>
      </w:r>
      <w:r>
        <w:rPr>
          <w:b w:val="0"/>
          <w:i w:val="0"/>
          <w:smallCaps w:val="0"/>
          <w:strike w:val="0"/>
          <w:sz w:val="22"/>
          <w:u w:val="single"/>
        </w:rPr>
        <w:t xml:space="preserve"> legal </w:t>
      </w:r>
      <w:r>
        <w:rPr>
          <w:b w:val="0"/>
          <w:i w:val="0"/>
          <w:smallCaps w:val="0"/>
          <w:strike w:val="0"/>
          <w:sz w:val="22"/>
          <w:highlight w:val="cyan"/>
          <w:u w:val="single"/>
        </w:rPr>
        <w:t>questions by applying</w:t>
      </w:r>
      <w:r>
        <w:rPr>
          <w:b w:val="0"/>
          <w:i w:val="0"/>
          <w:smallCaps w:val="0"/>
          <w:strike w:val="0"/>
          <w:sz w:val="22"/>
          <w:u w:val="single"/>
        </w:rPr>
        <w:t xml:space="preserve"> </w:t>
      </w:r>
      <w:r>
        <w:rPr>
          <w:b w:val="0"/>
          <w:i w:val="0"/>
          <w:smallCaps w:val="0"/>
          <w:strike w:val="0"/>
          <w:sz w:val="22"/>
          <w:highlight w:val="cyan"/>
          <w:u w:val="single"/>
        </w:rPr>
        <w:t>their own judgment</w:t>
      </w:r>
      <w:r>
        <w:rPr>
          <w:b w:val="0"/>
          <w:i w:val="0"/>
          <w:smallCaps w:val="0"/>
          <w:strike w:val="0"/>
          <w:sz w:val="22"/>
          <w:u w:val="single"/>
        </w:rPr>
        <w:t xml:space="preserve">. </w:t>
      </w:r>
      <w:r>
        <w:rPr>
          <w:b w:val="0"/>
          <w:i w:val="0"/>
          <w:smallCaps w:val="0"/>
          <w:strike w:val="0"/>
          <w:sz w:val="16"/>
          <w:u w:val="none"/>
        </w:rPr>
        <w:t>It specifies that courts, not agencies, will decide “</w:t>
      </w:r>
      <w:r>
        <w:rPr>
          <w:b w:val="0"/>
          <w:i w:val="0"/>
          <w:smallCaps w:val="0"/>
          <w:strike w:val="0"/>
          <w:sz w:val="16"/>
          <w:u w:val="none"/>
        </w:rPr>
        <w:t xml:space="preserve">all </w:t>
      </w:r>
      <w:r>
        <w:rPr>
          <w:b w:val="0"/>
          <w:i w:val="0"/>
          <w:smallCaps w:val="0"/>
          <w:strike w:val="0"/>
          <w:sz w:val="16"/>
          <w:u w:val="none"/>
        </w:rPr>
        <w:t>relevant questions of law” arising on review of agency action, §706 (emphasis added)—</w:t>
      </w:r>
      <w:r>
        <w:rPr>
          <w:b w:val="0"/>
          <w:i w:val="0"/>
          <w:smallCaps w:val="0"/>
          <w:strike w:val="0"/>
          <w:sz w:val="22"/>
          <w:highlight w:val="cyan"/>
          <w:u w:val="single"/>
        </w:rPr>
        <w:t>even</w:t>
      </w:r>
      <w:r>
        <w:rPr>
          <w:b w:val="0"/>
          <w:i w:val="0"/>
          <w:smallCaps w:val="0"/>
          <w:strike w:val="0"/>
          <w:sz w:val="22"/>
          <w:u w:val="single"/>
        </w:rPr>
        <w:t xml:space="preserve"> those </w:t>
      </w:r>
      <w:r>
        <w:rPr>
          <w:b w:val="0"/>
          <w:i w:val="0"/>
          <w:smallCaps w:val="0"/>
          <w:strike w:val="0"/>
          <w:sz w:val="22"/>
          <w:highlight w:val="cyan"/>
          <w:u w:val="single"/>
        </w:rPr>
        <w:t>involving ambiguous</w:t>
      </w:r>
      <w:r>
        <w:rPr>
          <w:b w:val="0"/>
          <w:i w:val="0"/>
          <w:smallCaps w:val="0"/>
          <w:strike w:val="0"/>
          <w:sz w:val="22"/>
          <w:u w:val="single"/>
        </w:rPr>
        <w:t xml:space="preserve"> </w:t>
      </w:r>
      <w:r>
        <w:rPr>
          <w:b w:val="0"/>
          <w:i w:val="0"/>
          <w:smallCaps w:val="0"/>
          <w:strike w:val="0"/>
          <w:sz w:val="22"/>
          <w:highlight w:val="cyan"/>
          <w:u w:val="single"/>
        </w:rPr>
        <w:t>laws</w:t>
      </w:r>
      <w:r>
        <w:rPr>
          <w:b w:val="0"/>
          <w:i w:val="0"/>
          <w:smallCaps w:val="0"/>
          <w:strike w:val="0"/>
          <w:sz w:val="16"/>
          <w:u w:val="none"/>
        </w:rPr>
        <w:t xml:space="preserve">—and set aside any such action inconsistent with the law as they interpret it. And it </w:t>
      </w:r>
      <w:r>
        <w:rPr>
          <w:b w:val="0"/>
          <w:i w:val="0"/>
          <w:smallCaps w:val="0"/>
          <w:strike w:val="0"/>
          <w:sz w:val="22"/>
          <w:u w:val="single"/>
        </w:rPr>
        <w:t xml:space="preserve">prescribes no deferential standard for courts to employ in answering those legal questions. </w:t>
      </w:r>
      <w:r>
        <w:rPr>
          <w:b w:val="0"/>
          <w:i w:val="0"/>
          <w:smallCaps w:val="0"/>
          <w:strike w:val="0"/>
          <w:sz w:val="16"/>
          <w:u w:val="none"/>
        </w:rPr>
        <w:t xml:space="preserve">That omission is telling, because Section 706 </w:t>
      </w:r>
      <w:r>
        <w:rPr>
          <w:b w:val="0"/>
          <w:i w:val="0"/>
          <w:smallCaps w:val="0"/>
          <w:strike w:val="0"/>
          <w:sz w:val="16"/>
          <w:u w:val="none"/>
        </w:rPr>
        <w:t xml:space="preserve">does </w:t>
      </w:r>
      <w:r>
        <w:rPr>
          <w:b w:val="0"/>
          <w:i w:val="0"/>
          <w:smallCaps w:val="0"/>
          <w:strike w:val="0"/>
          <w:sz w:val="16"/>
          <w:u w:val="none"/>
        </w:rPr>
        <w:t>mandate that judicial review of agency policymaking and factfinding be deferential.</w:t>
      </w:r>
    </w:p>
    <w:p>
      <w:pPr>
        <w:spacing w:after="60"/>
      </w:pPr>
      <w:r>
        <w:rPr>
          <w:b w:val="0"/>
          <w:i w:val="0"/>
          <w:smallCaps w:val="0"/>
          <w:strike w:val="0"/>
          <w:sz w:val="16"/>
          <w:u w:val="none"/>
        </w:rPr>
        <w:t xml:space="preserve">Moreover, “by directing courts to ‘interpret constitutional and statutory provisions’ without differentiating between the two, </w:t>
      </w:r>
      <w:r>
        <w:rPr>
          <w:b w:val="0"/>
          <w:i w:val="0"/>
          <w:smallCaps w:val="0"/>
          <w:strike w:val="0"/>
          <w:sz w:val="22"/>
          <w:u w:val="single"/>
        </w:rPr>
        <w:t xml:space="preserve">Section 706 makes clear that </w:t>
      </w:r>
      <w:r>
        <w:rPr>
          <w:b w:val="0"/>
          <w:i w:val="0"/>
          <w:smallCaps w:val="0"/>
          <w:strike w:val="0"/>
          <w:sz w:val="22"/>
          <w:highlight w:val="cyan"/>
          <w:u w:val="single"/>
        </w:rPr>
        <w:t>agency</w:t>
      </w:r>
      <w:r>
        <w:rPr>
          <w:b w:val="0"/>
          <w:i w:val="0"/>
          <w:smallCaps w:val="0"/>
          <w:strike w:val="0"/>
          <w:sz w:val="22"/>
          <w:u w:val="single"/>
        </w:rPr>
        <w:t xml:space="preserve"> interpretations of statutes—like agency interpretations of the Constitution—are </w:t>
      </w:r>
      <w:r>
        <w:rPr>
          <w:b/>
          <w:i w:val="0"/>
          <w:smallCaps w:val="0"/>
          <w:strike w:val="0"/>
          <w:sz w:val="22"/>
          <w:highlight w:val="cyan"/>
          <w:u w:val="single"/>
        </w:rPr>
        <w:t>not entitled to deference</w:t>
      </w:r>
      <w:r>
        <w:rPr>
          <w:b w:val="0"/>
          <w:i w:val="0"/>
          <w:smallCaps w:val="0"/>
          <w:strike w:val="0"/>
          <w:sz w:val="16"/>
          <w:u w:val="none"/>
        </w:rPr>
        <w:t xml:space="preserve">.” </w:t>
      </w:r>
      <w:r>
        <w:rPr>
          <w:b w:val="0"/>
          <w:i w:val="0"/>
          <w:smallCaps w:val="0"/>
          <w:strike w:val="0"/>
          <w:sz w:val="22"/>
          <w:u w:val="single"/>
        </w:rPr>
        <w:t>Chevron deference simply “</w:t>
      </w:r>
      <w:r>
        <w:rPr>
          <w:b/>
          <w:i w:val="0"/>
          <w:smallCaps w:val="0"/>
          <w:strike w:val="0"/>
          <w:sz w:val="22"/>
          <w:u w:val="single"/>
        </w:rPr>
        <w:t>cannot be squared with the APA.”</w:t>
      </w:r>
      <w:r>
        <w:rPr>
          <w:b w:val="0"/>
          <w:i w:val="0"/>
          <w:smallCaps w:val="0"/>
          <w:strike w:val="0"/>
          <w:sz w:val="16"/>
          <w:u w:val="none"/>
        </w:rPr>
        <w:t xml:space="preserve"> After all, “[</w:t>
      </w:r>
      <w:r>
        <w:rPr>
          <w:b w:val="0"/>
          <w:i w:val="0"/>
          <w:smallCaps w:val="0"/>
          <w:strike w:val="0"/>
          <w:sz w:val="16"/>
          <w:u w:val="none"/>
        </w:rPr>
        <w:t>i</w:t>
      </w:r>
      <w:r>
        <w:rPr>
          <w:b w:val="0"/>
          <w:i w:val="0"/>
          <w:smallCaps w:val="0"/>
          <w:strike w:val="0"/>
          <w:sz w:val="16"/>
          <w:u w:val="none"/>
        </w:rPr>
        <w:t xml:space="preserve">]t </w:t>
      </w:r>
      <w:r>
        <w:rPr>
          <w:b w:val="0"/>
          <w:i w:val="0"/>
          <w:smallCaps w:val="0"/>
          <w:strike w:val="0"/>
          <w:sz w:val="22"/>
          <w:highlight w:val="cyan"/>
          <w:u w:val="single"/>
        </w:rPr>
        <w:t>requires a court to ignore</w:t>
      </w:r>
      <w:r>
        <w:rPr>
          <w:b w:val="0"/>
          <w:i w:val="0"/>
          <w:smallCaps w:val="0"/>
          <w:strike w:val="0"/>
          <w:sz w:val="22"/>
          <w:u w:val="single"/>
        </w:rPr>
        <w:t xml:space="preserve">, not follow, the reading the court would have reached had it exercised its </w:t>
      </w:r>
      <w:r>
        <w:rPr>
          <w:b w:val="0"/>
          <w:i w:val="0"/>
          <w:smallCaps w:val="0"/>
          <w:strike w:val="0"/>
          <w:sz w:val="22"/>
          <w:u w:val="single"/>
        </w:rPr>
        <w:t>independent</w:t>
      </w:r>
      <w:r>
        <w:rPr>
          <w:b w:val="0"/>
          <w:i w:val="0"/>
          <w:smallCaps w:val="0"/>
          <w:strike w:val="0"/>
          <w:sz w:val="22"/>
          <w:u w:val="single"/>
        </w:rPr>
        <w:t xml:space="preserve"> </w:t>
      </w:r>
      <w:r>
        <w:rPr>
          <w:b w:val="0"/>
          <w:i w:val="0"/>
          <w:smallCaps w:val="0"/>
          <w:strike w:val="0"/>
          <w:sz w:val="22"/>
          <w:highlight w:val="cyan"/>
          <w:u w:val="single"/>
        </w:rPr>
        <w:t>judgment</w:t>
      </w:r>
      <w:r>
        <w:rPr>
          <w:b w:val="0"/>
          <w:i w:val="0"/>
          <w:smallCaps w:val="0"/>
          <w:strike w:val="0"/>
          <w:sz w:val="22"/>
          <w:u w:val="single"/>
        </w:rPr>
        <w:t xml:space="preserve"> as required by the APA</w:t>
      </w:r>
      <w:r>
        <w:rPr>
          <w:b w:val="0"/>
          <w:i w:val="0"/>
          <w:smallCaps w:val="0"/>
          <w:strike w:val="0"/>
          <w:sz w:val="16"/>
          <w:u w:val="none"/>
        </w:rPr>
        <w:t xml:space="preserve">” (internal quotation marks omitted). It </w:t>
      </w:r>
      <w:r>
        <w:rPr>
          <w:b w:val="0"/>
          <w:i w:val="0"/>
          <w:smallCaps w:val="0"/>
          <w:strike w:val="0"/>
          <w:sz w:val="22"/>
          <w:u w:val="single"/>
        </w:rPr>
        <w:t xml:space="preserve">forces courts </w:t>
      </w:r>
      <w:r>
        <w:rPr>
          <w:b w:val="0"/>
          <w:i w:val="0"/>
          <w:smallCaps w:val="0"/>
          <w:strike w:val="0"/>
          <w:sz w:val="22"/>
          <w:highlight w:val="cyan"/>
          <w:u w:val="single"/>
        </w:rPr>
        <w:t>to</w:t>
      </w:r>
      <w:r>
        <w:rPr>
          <w:b w:val="0"/>
          <w:i w:val="0"/>
          <w:smallCaps w:val="0"/>
          <w:strike w:val="0"/>
          <w:sz w:val="22"/>
          <w:u w:val="single"/>
        </w:rPr>
        <w:t xml:space="preserve"> “mechanically afford binding </w:t>
      </w:r>
      <w:r>
        <w:rPr>
          <w:b w:val="0"/>
          <w:i w:val="0"/>
          <w:smallCaps w:val="0"/>
          <w:strike w:val="0"/>
          <w:sz w:val="22"/>
          <w:highlight w:val="cyan"/>
          <w:u w:val="single"/>
        </w:rPr>
        <w:t>defer</w:t>
      </w:r>
      <w:r>
        <w:rPr>
          <w:b w:val="0"/>
          <w:i w:val="0"/>
          <w:smallCaps w:val="0"/>
          <w:strike w:val="0"/>
          <w:sz w:val="22"/>
          <w:u w:val="single"/>
        </w:rPr>
        <w:t xml:space="preserve">ence to </w:t>
      </w:r>
      <w:r>
        <w:rPr>
          <w:b w:val="0"/>
          <w:i w:val="0"/>
          <w:smallCaps w:val="0"/>
          <w:strike w:val="0"/>
          <w:sz w:val="22"/>
          <w:highlight w:val="cyan"/>
          <w:u w:val="single"/>
        </w:rPr>
        <w:t>agency</w:t>
      </w:r>
      <w:r>
        <w:rPr>
          <w:b w:val="0"/>
          <w:i w:val="0"/>
          <w:smallCaps w:val="0"/>
          <w:strike w:val="0"/>
          <w:sz w:val="22"/>
          <w:u w:val="single"/>
        </w:rPr>
        <w:t xml:space="preserve"> </w:t>
      </w:r>
      <w:r>
        <w:rPr>
          <w:b w:val="0"/>
          <w:i w:val="0"/>
          <w:smallCaps w:val="0"/>
          <w:strike w:val="0"/>
          <w:sz w:val="22"/>
          <w:highlight w:val="cyan"/>
          <w:u w:val="single"/>
        </w:rPr>
        <w:t>interpretations</w:t>
      </w:r>
      <w:r>
        <w:rPr>
          <w:b w:val="0"/>
          <w:i w:val="0"/>
          <w:smallCaps w:val="0"/>
          <w:strike w:val="0"/>
          <w:sz w:val="22"/>
          <w:u w:val="single"/>
        </w:rPr>
        <w:t xml:space="preserve">, </w:t>
      </w:r>
      <w:r>
        <w:rPr>
          <w:b/>
          <w:i w:val="0"/>
          <w:smallCaps w:val="0"/>
          <w:strike w:val="0"/>
          <w:sz w:val="22"/>
          <w:u w:val="single"/>
        </w:rPr>
        <w:t xml:space="preserve">including those </w:t>
      </w:r>
      <w:r>
        <w:rPr>
          <w:b/>
          <w:i w:val="0"/>
          <w:smallCaps w:val="0"/>
          <w:strike w:val="0"/>
          <w:sz w:val="22"/>
          <w:highlight w:val="cyan"/>
          <w:u w:val="single"/>
        </w:rPr>
        <w:t>that have been</w:t>
      </w:r>
      <w:r>
        <w:rPr>
          <w:b/>
          <w:i w:val="0"/>
          <w:smallCaps w:val="0"/>
          <w:strike w:val="0"/>
          <w:sz w:val="22"/>
          <w:u w:val="single"/>
        </w:rPr>
        <w:t xml:space="preserve"> </w:t>
      </w:r>
      <w:r>
        <w:rPr>
          <w:b/>
          <w:i w:val="0"/>
          <w:smallCaps w:val="0"/>
          <w:strike w:val="0"/>
          <w:sz w:val="22"/>
          <w:highlight w:val="cyan"/>
          <w:u w:val="single"/>
        </w:rPr>
        <w:t>inconsistent</w:t>
      </w:r>
      <w:r>
        <w:rPr>
          <w:b w:val="0"/>
          <w:i w:val="0"/>
          <w:smallCaps w:val="0"/>
          <w:strike w:val="0"/>
          <w:sz w:val="22"/>
          <w:u w:val="single"/>
        </w:rPr>
        <w:t xml:space="preserve"> over time</w:t>
      </w:r>
      <w:r>
        <w:rPr>
          <w:b w:val="0"/>
          <w:i w:val="0"/>
          <w:smallCaps w:val="0"/>
          <w:strike w:val="0"/>
          <w:sz w:val="16"/>
          <w:u w:val="none"/>
        </w:rPr>
        <w:t xml:space="preserve">.” Justice Clarence Thomas added in a concurrence that </w:t>
      </w:r>
      <w:r>
        <w:rPr>
          <w:b w:val="0"/>
          <w:i w:val="0"/>
          <w:smallCaps w:val="0"/>
          <w:strike w:val="0"/>
          <w:sz w:val="22"/>
          <w:highlight w:val="cyan"/>
          <w:u w:val="single"/>
        </w:rPr>
        <w:t>Chevron</w:t>
      </w:r>
      <w:r>
        <w:rPr>
          <w:b w:val="0"/>
          <w:i w:val="0"/>
          <w:smallCaps w:val="0"/>
          <w:strike w:val="0"/>
          <w:sz w:val="22"/>
          <w:u w:val="single"/>
        </w:rPr>
        <w:t xml:space="preserve"> </w:t>
      </w:r>
      <w:r>
        <w:rPr>
          <w:b w:val="0"/>
          <w:i w:val="0"/>
          <w:smallCaps w:val="0"/>
          <w:strike w:val="0"/>
          <w:sz w:val="22"/>
          <w:highlight w:val="cyan"/>
          <w:u w:val="single"/>
        </w:rPr>
        <w:t>violates</w:t>
      </w:r>
      <w:r>
        <w:rPr>
          <w:b w:val="0"/>
          <w:i w:val="0"/>
          <w:smallCaps w:val="0"/>
          <w:strike w:val="0"/>
          <w:sz w:val="22"/>
          <w:u w:val="single"/>
        </w:rPr>
        <w:t xml:space="preserve"> the </w:t>
      </w:r>
      <w:r>
        <w:rPr>
          <w:b/>
          <w:i w:val="0"/>
          <w:smallCaps w:val="0"/>
          <w:strike w:val="0"/>
          <w:sz w:val="22"/>
          <w:highlight w:val="cyan"/>
          <w:u w:val="single"/>
        </w:rPr>
        <w:t>separation of powers</w:t>
      </w:r>
      <w:r>
        <w:rPr>
          <w:b w:val="0"/>
          <w:i w:val="0"/>
          <w:smallCaps w:val="0"/>
          <w:strike w:val="0"/>
          <w:sz w:val="16"/>
          <w:u w:val="none"/>
        </w:rPr>
        <w:t xml:space="preserve"> “[r]</w:t>
      </w:r>
      <w:r>
        <w:rPr>
          <w:b w:val="0"/>
          <w:i w:val="0"/>
          <w:smallCaps w:val="0"/>
          <w:strike w:val="0"/>
          <w:sz w:val="16"/>
          <w:u w:val="none"/>
        </w:rPr>
        <w:t>egardless</w:t>
      </w:r>
      <w:r>
        <w:rPr>
          <w:b w:val="0"/>
          <w:i w:val="0"/>
          <w:smallCaps w:val="0"/>
          <w:strike w:val="0"/>
          <w:sz w:val="16"/>
          <w:u w:val="none"/>
        </w:rPr>
        <w:t xml:space="preserve"> of what a statute says.”</w:t>
      </w:r>
    </w:p>
    <w:p>
      <w:pPr>
        <w:spacing w:after="60"/>
      </w:pPr>
      <w:r>
        <w:rPr>
          <w:b w:val="0"/>
          <w:i w:val="0"/>
          <w:smallCaps w:val="0"/>
          <w:strike w:val="0"/>
          <w:sz w:val="16"/>
          <w:u w:val="none"/>
        </w:rPr>
        <w:t xml:space="preserve">This is a Court that </w:t>
      </w:r>
      <w:r>
        <w:rPr>
          <w:b w:val="0"/>
          <w:i w:val="0"/>
          <w:smallCaps w:val="0"/>
          <w:strike w:val="0"/>
          <w:sz w:val="22"/>
          <w:u w:val="single"/>
        </w:rPr>
        <w:t>cares about the separate but coequal branches of government</w:t>
      </w:r>
      <w:r>
        <w:rPr>
          <w:b w:val="0"/>
          <w:i w:val="0"/>
          <w:smallCaps w:val="0"/>
          <w:strike w:val="0"/>
          <w:sz w:val="16"/>
          <w:u w:val="none"/>
        </w:rPr>
        <w:t xml:space="preserve"> doing what they are supposed to do. And while the dissent for the liberal bloc by Justice Elena Kagan predictably protested that the majority acted with “no special reasons, of the kind usually invoked for overturning precedent,” </w:t>
      </w:r>
      <w:r>
        <w:rPr>
          <w:b/>
          <w:i w:val="0"/>
          <w:smallCaps w:val="0"/>
          <w:strike w:val="0"/>
          <w:sz w:val="22"/>
          <w:highlight w:val="cyan"/>
          <w:u w:val="single"/>
        </w:rPr>
        <w:t>Chevron</w:t>
      </w:r>
      <w:r>
        <w:rPr>
          <w:b/>
          <w:i w:val="0"/>
          <w:smallCaps w:val="0"/>
          <w:strike w:val="0"/>
          <w:sz w:val="22"/>
          <w:u w:val="single"/>
        </w:rPr>
        <w:t xml:space="preserve"> as </w:t>
      </w:r>
      <w:r>
        <w:rPr>
          <w:b/>
          <w:i w:val="0"/>
          <w:smallCaps w:val="0"/>
          <w:strike w:val="0"/>
          <w:sz w:val="22"/>
          <w:highlight w:val="cyan"/>
          <w:u w:val="single"/>
        </w:rPr>
        <w:t xml:space="preserve">precedent has been </w:t>
      </w:r>
      <w:r>
        <w:rPr>
          <w:b w:val="0"/>
          <w:i w:val="0"/>
          <w:smallCaps w:val="0"/>
          <w:strike w:val="0"/>
          <w:sz w:val="22"/>
          <w:highlight w:val="cyan"/>
          <w:u w:val="single"/>
        </w:rPr>
        <w:t xml:space="preserve"> for years</w:t>
      </w:r>
      <w:r>
        <w:rPr>
          <w:b w:val="0"/>
          <w:i w:val="0"/>
          <w:smallCaps w:val="0"/>
          <w:strike w:val="0"/>
          <w:sz w:val="16"/>
          <w:u w:val="none"/>
        </w:rPr>
        <w:t xml:space="preserve">. The </w:t>
      </w:r>
      <w:r>
        <w:rPr>
          <w:b w:val="0"/>
          <w:i w:val="0"/>
          <w:smallCaps w:val="0"/>
          <w:strike w:val="0"/>
          <w:sz w:val="22"/>
          <w:highlight w:val="cyan"/>
          <w:u w:val="single"/>
        </w:rPr>
        <w:t>Court</w:t>
      </w:r>
      <w:r>
        <w:rPr>
          <w:b w:val="0"/>
          <w:i w:val="0"/>
          <w:smallCaps w:val="0"/>
          <w:strike w:val="0"/>
          <w:sz w:val="22"/>
          <w:u w:val="single"/>
        </w:rPr>
        <w:t xml:space="preserve"> has not been inclined to find its preconditions triggered and by the majority’s own acknowledgement “</w:t>
      </w:r>
      <w:r>
        <w:rPr>
          <w:b/>
          <w:i w:val="0"/>
          <w:smallCaps w:val="0"/>
          <w:strike w:val="0"/>
          <w:sz w:val="22"/>
          <w:highlight w:val="cyan"/>
          <w:u w:val="single"/>
        </w:rPr>
        <w:t>has not deferred</w:t>
      </w:r>
      <w:r>
        <w:rPr>
          <w:b/>
          <w:i w:val="0"/>
          <w:smallCaps w:val="0"/>
          <w:strike w:val="0"/>
          <w:sz w:val="22"/>
          <w:u w:val="single"/>
        </w:rPr>
        <w:t xml:space="preserve"> to an agency interpretation under Chevron </w:t>
      </w:r>
      <w:r>
        <w:rPr>
          <w:b/>
          <w:i w:val="0"/>
          <w:smallCaps w:val="0"/>
          <w:strike w:val="0"/>
          <w:sz w:val="22"/>
          <w:highlight w:val="cyan"/>
          <w:u w:val="single"/>
        </w:rPr>
        <w:t>since 2016</w:t>
      </w:r>
      <w:r>
        <w:rPr>
          <w:b w:val="0"/>
          <w:i w:val="0"/>
          <w:smallCaps w:val="0"/>
          <w:strike w:val="0"/>
          <w:sz w:val="16"/>
          <w:u w:val="none"/>
        </w:rPr>
        <w:t xml:space="preserve">.” In appropriate cases, it has applied the </w:t>
      </w:r>
      <w:r>
        <w:rPr>
          <w:b w:val="0"/>
          <w:i w:val="0"/>
          <w:smallCaps w:val="0"/>
          <w:strike w:val="0"/>
          <w:sz w:val="16"/>
          <w:u w:val="none"/>
        </w:rPr>
        <w:t xml:space="preserve"> to strike down agency actions with broad economic and political significance undertaken without “clear congressional authorization”—a line of cases the supposedly stare decisis–embracing dissent derides as “judicial hubris.” </w:t>
      </w:r>
      <w:r>
        <w:rPr>
          <w:b/>
          <w:i w:val="0"/>
          <w:smallCaps w:val="0"/>
          <w:strike w:val="0"/>
          <w:sz w:val="22"/>
          <w:highlight w:val="cyan"/>
          <w:u w:val="single"/>
        </w:rPr>
        <w:t>Lower courts</w:t>
      </w:r>
      <w:r>
        <w:rPr>
          <w:b w:val="0"/>
          <w:i w:val="0"/>
          <w:smallCaps w:val="0"/>
          <w:strike w:val="0"/>
          <w:sz w:val="22"/>
          <w:highlight w:val="cyan"/>
          <w:u w:val="single"/>
        </w:rPr>
        <w:t xml:space="preserve"> have been inconsistent in applying Chevron</w:t>
      </w:r>
      <w:r>
        <w:rPr>
          <w:b w:val="0"/>
          <w:i w:val="0"/>
          <w:smallCaps w:val="0"/>
          <w:strike w:val="0"/>
          <w:sz w:val="22"/>
          <w:u w:val="single"/>
        </w:rPr>
        <w:t>, which should be no surprise in the face of what the majority described as its “byzantine set of preconditions and exceptions</w:t>
      </w:r>
      <w:r>
        <w:rPr>
          <w:b w:val="0"/>
          <w:i w:val="0"/>
          <w:smallCaps w:val="0"/>
          <w:strike w:val="0"/>
          <w:sz w:val="16"/>
          <w:u w:val="none"/>
        </w:rPr>
        <w:t xml:space="preserve">”—a “dizzying breakdance” the Court admitted took place as it </w:t>
      </w:r>
      <w:r>
        <w:rPr>
          <w:b w:val="0"/>
          <w:i w:val="0"/>
          <w:smallCaps w:val="0"/>
          <w:strike w:val="0"/>
          <w:sz w:val="22"/>
          <w:u w:val="single"/>
        </w:rPr>
        <w:t xml:space="preserve">previously </w:t>
      </w:r>
      <w:r>
        <w:rPr>
          <w:b w:val="0"/>
          <w:i w:val="0"/>
          <w:smallCaps w:val="0"/>
          <w:strike w:val="0"/>
          <w:sz w:val="22"/>
          <w:highlight w:val="cyan"/>
          <w:u w:val="single"/>
        </w:rPr>
        <w:t>grappled with the “</w:t>
      </w:r>
      <w:r>
        <w:rPr>
          <w:b/>
          <w:i w:val="0"/>
          <w:smallCaps w:val="0"/>
          <w:strike w:val="0"/>
          <w:sz w:val="22"/>
          <w:highlight w:val="cyan"/>
          <w:u w:val="single"/>
        </w:rPr>
        <w:t>unworkable” precedent</w:t>
      </w:r>
      <w:r>
        <w:rPr>
          <w:b w:val="0"/>
          <w:i w:val="0"/>
          <w:smallCaps w:val="0"/>
          <w:strike w:val="0"/>
          <w:sz w:val="16"/>
          <w:u w:val="none"/>
        </w:rPr>
        <w:t>. Congress, for its part, needs to do more of its job, articulating what the rules are itself instead of abdicating in favor of unelected bureaucrats who are not given that power under the Constitution.</w:t>
      </w:r>
    </w:p>
    <w:p>
      <w:pPr>
        <w:spacing w:after="60"/>
      </w:pPr>
      <w:r>
        <w:rPr>
          <w:b w:val="0"/>
          <w:i w:val="0"/>
          <w:smallCaps w:val="0"/>
          <w:strike w:val="0"/>
          <w:sz w:val="16"/>
          <w:u w:val="none"/>
        </w:rPr>
        <w:t xml:space="preserve">The </w:t>
      </w:r>
      <w:r>
        <w:rPr>
          <w:b w:val="0"/>
          <w:i w:val="0"/>
          <w:smallCaps w:val="0"/>
          <w:strike w:val="0"/>
          <w:sz w:val="22"/>
          <w:u w:val="single"/>
        </w:rPr>
        <w:t xml:space="preserve">operative standard going forward will be the one the Court handed down in </w:t>
      </w:r>
      <w:r>
        <w:rPr>
          <w:b/>
          <w:i w:val="0"/>
          <w:smallCaps w:val="0"/>
          <w:strike w:val="0"/>
          <w:sz w:val="22"/>
          <w:u w:val="single"/>
        </w:rPr>
        <w:t>Skidmore</w:t>
      </w:r>
      <w:r>
        <w:rPr>
          <w:b w:val="0"/>
          <w:i w:val="0"/>
          <w:smallCaps w:val="0"/>
          <w:strike w:val="0"/>
          <w:sz w:val="16"/>
          <w:u w:val="none"/>
        </w:rPr>
        <w:t xml:space="preserve"> 80 years ago. </w:t>
      </w:r>
      <w:r>
        <w:rPr>
          <w:b w:val="0"/>
          <w:i w:val="0"/>
          <w:smallCaps w:val="0"/>
          <w:strike w:val="0"/>
          <w:sz w:val="22"/>
          <w:highlight w:val="cyan"/>
          <w:u w:val="single"/>
        </w:rPr>
        <w:t>Agency</w:t>
      </w:r>
      <w:r>
        <w:rPr>
          <w:b w:val="0"/>
          <w:i w:val="0"/>
          <w:smallCaps w:val="0"/>
          <w:strike w:val="0"/>
          <w:sz w:val="22"/>
          <w:u w:val="single"/>
        </w:rPr>
        <w:t xml:space="preserve"> judgment </w:t>
      </w:r>
      <w:r>
        <w:rPr>
          <w:b w:val="0"/>
          <w:i w:val="0"/>
          <w:smallCaps w:val="0"/>
          <w:strike w:val="0"/>
          <w:sz w:val="22"/>
          <w:highlight w:val="cyan"/>
          <w:u w:val="single"/>
        </w:rPr>
        <w:t>deserves</w:t>
      </w:r>
      <w:r>
        <w:rPr>
          <w:b w:val="0"/>
          <w:i w:val="0"/>
          <w:smallCaps w:val="0"/>
          <w:strike w:val="0"/>
          <w:sz w:val="22"/>
          <w:u w:val="single"/>
        </w:rPr>
        <w:t xml:space="preserve"> a level of </w:t>
      </w:r>
      <w:r>
        <w:rPr>
          <w:b w:val="0"/>
          <w:i w:val="0"/>
          <w:smallCaps w:val="0"/>
          <w:strike w:val="0"/>
          <w:sz w:val="22"/>
          <w:highlight w:val="cyan"/>
          <w:u w:val="single"/>
        </w:rPr>
        <w:t>consideration</w:t>
      </w:r>
      <w:r>
        <w:rPr>
          <w:b w:val="0"/>
          <w:i w:val="0"/>
          <w:smallCaps w:val="0"/>
          <w:strike w:val="0"/>
          <w:sz w:val="22"/>
          <w:u w:val="single"/>
        </w:rPr>
        <w:t xml:space="preserve"> </w:t>
      </w:r>
      <w:r>
        <w:rPr>
          <w:b w:val="0"/>
          <w:i w:val="0"/>
          <w:smallCaps w:val="0"/>
          <w:strike w:val="0"/>
          <w:sz w:val="22"/>
          <w:highlight w:val="cyan"/>
          <w:u w:val="single"/>
        </w:rPr>
        <w:t>consistent with</w:t>
      </w:r>
      <w:r>
        <w:rPr>
          <w:b w:val="0"/>
          <w:i w:val="0"/>
          <w:smallCaps w:val="0"/>
          <w:strike w:val="0"/>
          <w:sz w:val="22"/>
          <w:u w:val="single"/>
        </w:rPr>
        <w:t xml:space="preserve"> “the </w:t>
      </w:r>
      <w:r>
        <w:rPr>
          <w:b/>
          <w:i w:val="0"/>
          <w:smallCaps w:val="0"/>
          <w:strike w:val="0"/>
          <w:sz w:val="22"/>
          <w:highlight w:val="cyan"/>
          <w:u w:val="single"/>
        </w:rPr>
        <w:t>thoroughness</w:t>
      </w:r>
      <w:r>
        <w:rPr>
          <w:b/>
          <w:i w:val="0"/>
          <w:smallCaps w:val="0"/>
          <w:strike w:val="0"/>
          <w:sz w:val="22"/>
          <w:u w:val="single"/>
        </w:rPr>
        <w:t xml:space="preserve"> evident in its consideration</w:t>
      </w:r>
      <w:r>
        <w:rPr>
          <w:b w:val="0"/>
          <w:i w:val="0"/>
          <w:smallCaps w:val="0"/>
          <w:strike w:val="0"/>
          <w:sz w:val="22"/>
          <w:u w:val="single"/>
        </w:rPr>
        <w:t>, the validity of its reasoning</w:t>
      </w:r>
      <w:r>
        <w:rPr>
          <w:b w:val="0"/>
          <w:i w:val="0"/>
          <w:smallCaps w:val="0"/>
          <w:strike w:val="0"/>
          <w:sz w:val="16"/>
          <w:u w:val="none"/>
        </w:rPr>
        <w:t xml:space="preserve">, its consistency with earlier and later pronouncements, and all those factors which give it power to persuade, if lacking power to control.” </w:t>
      </w:r>
      <w:r>
        <w:rPr>
          <w:b w:val="0"/>
          <w:i w:val="0"/>
          <w:smallCaps w:val="0"/>
          <w:strike w:val="0"/>
          <w:sz w:val="22"/>
          <w:u w:val="single"/>
        </w:rPr>
        <w:t>Agencies have no legitimate complaint about this outcome. If they want to win in the future, they need to do a more careful job</w:t>
      </w:r>
      <w:r>
        <w:rPr>
          <w:b w:val="0"/>
          <w:i w:val="0"/>
          <w:smallCaps w:val="0"/>
          <w:strike w:val="0"/>
          <w:sz w:val="16"/>
          <w:u w:val="none"/>
        </w:rPr>
        <w:t>—play fair and realize that they will win or lose based on the merits of their position rather than favoritism.</w:t>
      </w:r>
    </w:p>
    <w:p>
      <w:pPr>
        <w:spacing w:after="60"/>
      </w:pPr>
      <w:r>
        <w:rPr>
          <w:b w:val="0"/>
          <w:i w:val="0"/>
          <w:smallCaps w:val="0"/>
          <w:strike w:val="0"/>
          <w:sz w:val="16"/>
          <w:u w:val="none"/>
        </w:rPr>
        <w:t xml:space="preserve">The common </w:t>
      </w:r>
      <w:r>
        <w:rPr>
          <w:b w:val="0"/>
          <w:i w:val="0"/>
          <w:smallCaps w:val="0"/>
          <w:strike w:val="0"/>
          <w:sz w:val="22"/>
          <w:u w:val="single"/>
        </w:rPr>
        <w:t xml:space="preserve">talking point on the other side about agency expertise is </w:t>
      </w:r>
      <w:r>
        <w:rPr>
          <w:b w:val="0"/>
          <w:i w:val="0"/>
          <w:smallCaps w:val="0"/>
          <w:strike w:val="0"/>
          <w:sz w:val="16"/>
          <w:u w:val="none"/>
        </w:rPr>
        <w:t xml:space="preserve">, which is that agency officials often push their own agendas regardless of whether that would contort the underlying law. While the dissent touted the value of what it unconvincingly called the “expert, experienced, and politically accountable agency,” the </w:t>
      </w:r>
      <w:r>
        <w:rPr>
          <w:b w:val="0"/>
          <w:i w:val="0"/>
          <w:smallCaps w:val="0"/>
          <w:strike w:val="0"/>
          <w:sz w:val="22"/>
          <w:u w:val="single"/>
        </w:rPr>
        <w:t>majority recognized that “</w:t>
      </w:r>
      <w:r>
        <w:rPr>
          <w:b/>
          <w:i w:val="0"/>
          <w:smallCaps w:val="0"/>
          <w:strike w:val="0"/>
          <w:sz w:val="22"/>
          <w:highlight w:val="cyan"/>
          <w:u w:val="single"/>
        </w:rPr>
        <w:t>agencies have no special competence</w:t>
      </w:r>
      <w:r>
        <w:rPr>
          <w:b w:val="0"/>
          <w:i w:val="0"/>
          <w:smallCaps w:val="0"/>
          <w:strike w:val="0"/>
          <w:sz w:val="22"/>
          <w:highlight w:val="cyan"/>
          <w:u w:val="single"/>
        </w:rPr>
        <w:t xml:space="preserve"> in resolving</w:t>
      </w:r>
      <w:r>
        <w:rPr>
          <w:b w:val="0"/>
          <w:i w:val="0"/>
          <w:smallCaps w:val="0"/>
          <w:strike w:val="0"/>
          <w:sz w:val="22"/>
          <w:u w:val="single"/>
        </w:rPr>
        <w:t xml:space="preserve"> statutory </w:t>
      </w:r>
      <w:r>
        <w:rPr>
          <w:b w:val="0"/>
          <w:i w:val="0"/>
          <w:smallCaps w:val="0"/>
          <w:strike w:val="0"/>
          <w:sz w:val="22"/>
          <w:highlight w:val="cyan"/>
          <w:u w:val="single"/>
        </w:rPr>
        <w:t>ambiguities</w:t>
      </w:r>
      <w:r>
        <w:rPr>
          <w:b w:val="0"/>
          <w:i w:val="0"/>
          <w:smallCaps w:val="0"/>
          <w:strike w:val="0"/>
          <w:sz w:val="16"/>
          <w:u w:val="none"/>
        </w:rPr>
        <w:t xml:space="preserve">.” </w:t>
      </w:r>
      <w:r>
        <w:rPr>
          <w:b w:val="0"/>
          <w:i w:val="0"/>
          <w:smallCaps w:val="0"/>
          <w:strike w:val="0"/>
          <w:sz w:val="22"/>
          <w:u w:val="single"/>
        </w:rPr>
        <w:t>Resolving such ambiguities is “the very point of the traditional tools of statutory construction</w:t>
      </w:r>
      <w:r>
        <w:rPr>
          <w:b w:val="0"/>
          <w:i w:val="0"/>
          <w:smallCaps w:val="0"/>
          <w:strike w:val="0"/>
          <w:sz w:val="16"/>
          <w:u w:val="none"/>
        </w:rPr>
        <w:t xml:space="preserve">” that courts have, and “[t]hat is </w:t>
      </w:r>
      <w:r>
        <w:rPr>
          <w:b w:val="0"/>
          <w:i w:val="0"/>
          <w:smallCaps w:val="0"/>
          <w:strike w:val="0"/>
          <w:sz w:val="22"/>
          <w:u w:val="single"/>
        </w:rPr>
        <w:t>no less true when the ambiguity is about the scope of an agency’s own power—perhaps the occasion on which abdication in favor of the agency is least appropriate</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2"/>
          <w:highlight w:val="cyan"/>
          <w:u w:val="single"/>
        </w:rPr>
        <w:t>Court is</w:t>
      </w:r>
      <w:r>
        <w:rPr>
          <w:b w:val="0"/>
          <w:i w:val="0"/>
          <w:smallCaps w:val="0"/>
          <w:strike w:val="0"/>
          <w:sz w:val="22"/>
          <w:u w:val="single"/>
        </w:rPr>
        <w:t xml:space="preserve"> not putting itself in the place of experts. It is not claiming to be an expert on policy</w:t>
      </w:r>
      <w:r>
        <w:rPr>
          <w:b w:val="0"/>
          <w:i w:val="0"/>
          <w:smallCaps w:val="0"/>
          <w:strike w:val="0"/>
          <w:sz w:val="16"/>
          <w:u w:val="none"/>
        </w:rPr>
        <w:t xml:space="preserve"> but </w:t>
      </w:r>
      <w:r>
        <w:rPr>
          <w:b/>
          <w:i w:val="0"/>
          <w:smallCaps w:val="0"/>
          <w:strike w:val="0"/>
          <w:sz w:val="22"/>
          <w:highlight w:val="cyan"/>
          <w:u w:val="single"/>
        </w:rPr>
        <w:t>sticking to its strength, interpreting the law</w:t>
      </w:r>
      <w:r>
        <w:rPr>
          <w:b w:val="0"/>
          <w:i w:val="0"/>
          <w:smallCaps w:val="0"/>
          <w:strike w:val="0"/>
          <w:sz w:val="22"/>
          <w:u w:val="single"/>
        </w:rPr>
        <w:t xml:space="preserve">, and </w:t>
      </w:r>
      <w:r>
        <w:rPr>
          <w:b w:val="0"/>
          <w:i w:val="0"/>
          <w:smallCaps w:val="0"/>
          <w:strike w:val="0"/>
          <w:sz w:val="22"/>
          <w:highlight w:val="cyan"/>
          <w:u w:val="single"/>
        </w:rPr>
        <w:t>making sure agencies remain within their bounds</w:t>
      </w:r>
      <w:r>
        <w:rPr>
          <w:b w:val="0"/>
          <w:i w:val="0"/>
          <w:smallCaps w:val="0"/>
          <w:strike w:val="0"/>
          <w:sz w:val="16"/>
          <w:highlight w:val="cyan"/>
          <w:u w:val="none"/>
        </w:rPr>
        <w:t>.</w:t>
      </w:r>
      <w:r>
        <w:rPr>
          <w:b w:val="0"/>
          <w:i w:val="0"/>
          <w:smallCaps w:val="0"/>
          <w:strike w:val="0"/>
          <w:sz w:val="16"/>
          <w:u w:val="none"/>
        </w:rPr>
        <w:t xml:space="preserve"> It is acting as a referee that is weighing competing interpretations of a federal statute. The Court’s decision means that it will no longer put its heavy thumb on the scale of claims by agencies. </w:t>
      </w:r>
      <w:r>
        <w:rPr>
          <w:b w:val="0"/>
          <w:i w:val="0"/>
          <w:smallCaps w:val="0"/>
          <w:strike w:val="0"/>
          <w:sz w:val="22"/>
          <w:u w:val="single"/>
        </w:rPr>
        <w:t xml:space="preserve">Agency officials will </w:t>
      </w:r>
      <w:r>
        <w:rPr>
          <w:b/>
          <w:i w:val="0"/>
          <w:smallCaps w:val="0"/>
          <w:strike w:val="0"/>
          <w:sz w:val="22"/>
          <w:u w:val="single"/>
        </w:rPr>
        <w:t>now have to do their homework</w:t>
      </w:r>
      <w:r>
        <w:rPr>
          <w:b w:val="0"/>
          <w:i w:val="0"/>
          <w:smallCaps w:val="0"/>
          <w:strike w:val="0"/>
          <w:sz w:val="16"/>
          <w:u w:val="none"/>
        </w:rPr>
        <w:t xml:space="preserve"> and win on the merits, not on favoritism.</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