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‘Should’ refers to the future.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Brown ’8</w:t>
      </w:r>
      <w:r>
        <w:rPr>
          <w:b w:val="0"/>
          <w:i w:val="0"/>
          <w:smallCaps w:val="0"/>
          <w:strike w:val="0"/>
          <w:u w:val="none"/>
        </w:rPr>
        <w:t xml:space="preserve"> [Mary Ann Brown; May 14; Judge on the Court of Appeals of Iowa; Westlaw, “In re Est. of Guthrie,” 752 N.W.2d 452]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Brock and Kaitlyn look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word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“should” in the phrase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“in the event any of my children should predecease me” and claim the district court improperly found the word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looked to the </w:t>
      </w:r>
      <w:r>
        <w:rPr>
          <w:b/>
          <w:i w:val="0"/>
          <w:smallCaps w:val="0"/>
          <w:strike w:val="0"/>
          <w:sz w:val="22"/>
          <w:u w:val="single"/>
        </w:rPr>
        <w:t>future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They claim the word should be interpreted as the </w:t>
      </w:r>
      <w:r>
        <w:rPr>
          <w:b/>
          <w:i w:val="0"/>
          <w:smallCaps w:val="0"/>
          <w:strike w:val="0"/>
          <w:sz w:val="22"/>
          <w:u w:val="single"/>
        </w:rPr>
        <w:t>past tense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“shall” to imply a duty or obligation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See Black's Law Dictionary 1379 (6th ed.1990).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Looking at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phrase as a whole, however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rather than at a </w:t>
      </w:r>
      <w:r>
        <w:rPr>
          <w:b/>
          <w:i w:val="0"/>
          <w:smallCaps w:val="0"/>
          <w:strike w:val="0"/>
          <w:sz w:val="22"/>
          <w:u w:val="single"/>
        </w:rPr>
        <w:t>single word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we determine the phrase is considering </w:t>
      </w:r>
      <w:r>
        <w:rPr>
          <w:b/>
          <w:i w:val="0"/>
          <w:smallCaps w:val="0"/>
          <w:strike w:val="0"/>
          <w:sz w:val="22"/>
          <w:u w:val="single"/>
        </w:rPr>
        <w:t>possible future events</w:t>
      </w:r>
      <w:r>
        <w:rPr>
          <w:b w:val="0"/>
          <w:i w:val="0"/>
          <w:smallCaps w:val="0"/>
          <w:strike w:val="0"/>
          <w:sz w:val="16"/>
          <w:u w:val="none"/>
        </w:rPr>
        <w:t>. See In re Estate of Grulke, 546 N.W.2d 626, 627 (Iowa Ct.App.1996) (noting we must ascertain a testator's intent from the entire will).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