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irony</w:t>
      </w:r>
      <w:r>
        <w:rPr>
          <w:b/>
          <w:i w:val="0"/>
          <w:smallCaps w:val="0"/>
          <w:strike w:val="0"/>
          <w:sz w:val="26"/>
          <w:u w:val="none"/>
        </w:rPr>
        <w:t xml:space="preserve"> of the AFF is that </w:t>
      </w:r>
      <w:r>
        <w:rPr>
          <w:b/>
          <w:i w:val="0"/>
          <w:smallCaps w:val="0"/>
          <w:strike w:val="0"/>
          <w:sz w:val="26"/>
          <w:u w:val="single"/>
        </w:rPr>
        <w:t>no one</w:t>
      </w:r>
      <w:r>
        <w:rPr>
          <w:b/>
          <w:i w:val="0"/>
          <w:smallCaps w:val="0"/>
          <w:strike w:val="0"/>
          <w:sz w:val="26"/>
          <w:u w:val="none"/>
        </w:rPr>
        <w:t xml:space="preserve"> that </w:t>
      </w:r>
      <w:r>
        <w:rPr>
          <w:b/>
          <w:i w:val="0"/>
          <w:smallCaps w:val="0"/>
          <w:strike w:val="0"/>
          <w:sz w:val="26"/>
          <w:u w:val="single"/>
        </w:rPr>
        <w:t>supposedly resides</w:t>
      </w:r>
      <w:r>
        <w:rPr>
          <w:b/>
          <w:i w:val="0"/>
          <w:smallCaps w:val="0"/>
          <w:strike w:val="0"/>
          <w:sz w:val="26"/>
          <w:u w:val="none"/>
        </w:rPr>
        <w:t xml:space="preserve"> in the subaltern </w:t>
      </w:r>
      <w:r>
        <w:rPr>
          <w:b/>
          <w:i w:val="0"/>
          <w:smallCaps w:val="0"/>
          <w:strike w:val="0"/>
          <w:sz w:val="26"/>
          <w:u w:val="single"/>
        </w:rPr>
        <w:t>claims</w:t>
      </w:r>
      <w:r>
        <w:rPr>
          <w:b/>
          <w:i w:val="0"/>
          <w:smallCaps w:val="0"/>
          <w:strike w:val="0"/>
          <w:sz w:val="26"/>
          <w:u w:val="none"/>
        </w:rPr>
        <w:t xml:space="preserve"> the term.</w:t>
      </w:r>
    </w:p>
    <w:p>
      <w:pPr>
        <w:spacing w:after="80"/>
      </w:pPr>
      <w:r>
        <w:rPr>
          <w:b/>
          <w:i w:val="0"/>
          <w:smallCaps w:val="0"/>
          <w:strike w:val="0"/>
          <w:sz w:val="26"/>
          <w:u w:val="none"/>
        </w:rPr>
        <w:t xml:space="preserve">Marín-Aguilera </w:t>
      </w:r>
      <w:r>
        <w:rPr>
          <w:b/>
          <w:i w:val="0"/>
          <w:smallCaps w:val="0"/>
          <w:strike w:val="0"/>
          <w:sz w:val="26"/>
          <w:u w:val="none"/>
        </w:rPr>
        <w:t>21</w:t>
      </w:r>
      <w:r>
        <w:rPr>
          <w:b w:val="0"/>
          <w:i w:val="0"/>
          <w:smallCaps w:val="0"/>
          <w:strike w:val="0"/>
          <w:u w:val="none"/>
        </w:rPr>
        <w:t>, Research Fellow at the McDonald Institute for Archaeological Research and Research Associate at St. John’s College in the University of Cambridge. (Beatriz, 5-20-2021, “Subaltern Debris: Archaeology and Marginalized Communities,” Cambridge Archaeological Journal, Volume 31, Issue 4)</w:t>
      </w:r>
    </w:p>
    <w:p>
      <w:pPr>
        <w:spacing w:after="60"/>
      </w:pPr>
      <w:r>
        <w:rPr>
          <w:b w:val="0"/>
          <w:i w:val="0"/>
          <w:smallCaps w:val="0"/>
          <w:strike w:val="0"/>
          <w:sz w:val="14"/>
          <w:u w:val="none"/>
        </w:rPr>
        <w:t xml:space="preserve">Yet, as one of the reviewers of this article pointed out, </w:t>
      </w:r>
      <w:r>
        <w:rPr>
          <w:b/>
          <w:i w:val="0"/>
          <w:smallCaps w:val="0"/>
          <w:strike w:val="0"/>
          <w:sz w:val="22"/>
          <w:u w:val="single"/>
        </w:rPr>
        <w:t xml:space="preserve">the </w:t>
      </w:r>
      <w:r>
        <w:rPr>
          <w:b/>
          <w:i w:val="0"/>
          <w:smallCaps w:val="0"/>
          <w:strike w:val="0"/>
          <w:sz w:val="22"/>
          <w:highlight w:val="cyan"/>
          <w:u w:val="single"/>
        </w:rPr>
        <w:t>term ‘subaltern’ has become</w:t>
      </w:r>
      <w:r>
        <w:rPr>
          <w:b w:val="0"/>
          <w:i w:val="0"/>
          <w:smallCaps w:val="0"/>
          <w:strike w:val="0"/>
          <w:sz w:val="14"/>
          <w:u w:val="none"/>
        </w:rPr>
        <w:t xml:space="preserve"> in a certain way </w:t>
      </w:r>
      <w:r>
        <w:rPr>
          <w:b/>
          <w:i w:val="0"/>
          <w:smallCaps w:val="0"/>
          <w:strike w:val="0"/>
          <w:sz w:val="22"/>
          <w:highlight w:val="cyan"/>
          <w:u w:val="single"/>
        </w:rPr>
        <w:t xml:space="preserve">an </w:t>
      </w:r>
      <w:r>
        <w:rPr>
          <w:b/>
          <w:i w:val="0"/>
          <w:smallCaps w:val="0"/>
          <w:strike w:val="0"/>
          <w:sz w:val="24"/>
          <w:highlight w:val="cyan"/>
          <w:u w:val="single"/>
        </w:rPr>
        <w:t>abstract academic cul-de-sac</w:t>
      </w:r>
      <w:r>
        <w:rPr>
          <w:b w:val="0"/>
          <w:i w:val="0"/>
          <w:smallCaps w:val="0"/>
          <w:strike w:val="0"/>
          <w:sz w:val="14"/>
          <w:u w:val="none"/>
        </w:rPr>
        <w:t xml:space="preserve">, a rather elusive </w:t>
      </w:r>
      <w:r>
        <w:rPr>
          <w:b/>
          <w:i w:val="0"/>
          <w:smallCaps w:val="0"/>
          <w:strike w:val="0"/>
          <w:sz w:val="22"/>
          <w:highlight w:val="cyan"/>
          <w:u w:val="single"/>
        </w:rPr>
        <w:t>and</w:t>
      </w:r>
      <w:r>
        <w:rPr>
          <w:b w:val="0"/>
          <w:i w:val="0"/>
          <w:smallCaps w:val="0"/>
          <w:strike w:val="0"/>
          <w:sz w:val="14"/>
          <w:u w:val="none"/>
        </w:rPr>
        <w:t xml:space="preserve"> rarely theorized concept in archaeological literature (see also González-Ruibal 2019b, 104–6). In fact, many </w:t>
      </w:r>
      <w:r>
        <w:rPr>
          <w:b/>
          <w:i w:val="0"/>
          <w:smallCaps w:val="0"/>
          <w:strike w:val="0"/>
          <w:sz w:val="22"/>
          <w:u w:val="single"/>
        </w:rPr>
        <w:t>analyses of the subaltern</w:t>
      </w:r>
      <w:r>
        <w:rPr>
          <w:b w:val="0"/>
          <w:i w:val="0"/>
          <w:smallCaps w:val="0"/>
          <w:strike w:val="0"/>
          <w:sz w:val="14"/>
          <w:u w:val="none"/>
        </w:rPr>
        <w:t>—not only in archaeology—</w:t>
      </w:r>
      <w:r>
        <w:rPr>
          <w:b/>
          <w:i w:val="0"/>
          <w:smallCaps w:val="0"/>
          <w:strike w:val="0"/>
          <w:sz w:val="22"/>
          <w:u w:val="single"/>
        </w:rPr>
        <w:t xml:space="preserve">have </w:t>
      </w:r>
      <w:r>
        <w:rPr>
          <w:b/>
          <w:i w:val="0"/>
          <w:smallCaps w:val="0"/>
          <w:strike w:val="0"/>
          <w:sz w:val="24"/>
          <w:highlight w:val="cyan"/>
          <w:u w:val="single"/>
        </w:rPr>
        <w:t>overlooked</w:t>
      </w:r>
      <w:r>
        <w:rPr>
          <w:b/>
          <w:i w:val="0"/>
          <w:smallCaps w:val="0"/>
          <w:strike w:val="0"/>
          <w:sz w:val="22"/>
          <w:highlight w:val="cyan"/>
          <w:u w:val="single"/>
        </w:rPr>
        <w:t xml:space="preserve"> the </w:t>
      </w:r>
      <w:r>
        <w:rPr>
          <w:b/>
          <w:i w:val="0"/>
          <w:smallCaps w:val="0"/>
          <w:strike w:val="0"/>
          <w:sz w:val="24"/>
          <w:highlight w:val="cyan"/>
          <w:u w:val="single"/>
        </w:rPr>
        <w:t>heterogeneity</w:t>
      </w:r>
      <w:r>
        <w:rPr>
          <w:b/>
          <w:i w:val="0"/>
          <w:smallCaps w:val="0"/>
          <w:strike w:val="0"/>
          <w:sz w:val="22"/>
          <w:highlight w:val="cyan"/>
          <w:u w:val="single"/>
        </w:rPr>
        <w:t xml:space="preserve"> of</w:t>
      </w:r>
      <w:r>
        <w:rPr>
          <w:b/>
          <w:i w:val="0"/>
          <w:smallCaps w:val="0"/>
          <w:strike w:val="0"/>
          <w:sz w:val="22"/>
          <w:u w:val="single"/>
        </w:rPr>
        <w:t xml:space="preserve"> these </w:t>
      </w:r>
      <w:r>
        <w:rPr>
          <w:b/>
          <w:i w:val="0"/>
          <w:smallCaps w:val="0"/>
          <w:strike w:val="0"/>
          <w:sz w:val="22"/>
          <w:highlight w:val="cyan"/>
          <w:u w:val="single"/>
        </w:rPr>
        <w:t xml:space="preserve">groups and </w:t>
      </w:r>
      <w:r>
        <w:rPr>
          <w:b/>
          <w:i w:val="0"/>
          <w:smallCaps w:val="0"/>
          <w:strike w:val="0"/>
          <w:sz w:val="22"/>
          <w:u w:val="single"/>
        </w:rPr>
        <w:t xml:space="preserve">the </w:t>
      </w:r>
      <w:r>
        <w:rPr>
          <w:b/>
          <w:i w:val="0"/>
          <w:smallCaps w:val="0"/>
          <w:strike w:val="0"/>
          <w:sz w:val="24"/>
          <w:highlight w:val="cyan"/>
          <w:u w:val="single"/>
        </w:rPr>
        <w:t>existing antagonisms</w:t>
      </w:r>
      <w:r>
        <w:rPr>
          <w:b/>
          <w:i w:val="0"/>
          <w:smallCaps w:val="0"/>
          <w:strike w:val="0"/>
          <w:sz w:val="22"/>
          <w:highlight w:val="cyan"/>
          <w:u w:val="single"/>
        </w:rPr>
        <w:t xml:space="preserve"> within them</w:t>
      </w:r>
      <w:r>
        <w:rPr>
          <w:b/>
          <w:i w:val="0"/>
          <w:smallCaps w:val="0"/>
          <w:strike w:val="0"/>
          <w:sz w:val="22"/>
          <w:u w:val="single"/>
        </w:rPr>
        <w:t xml:space="preserve">. In their </w:t>
      </w:r>
      <w:r>
        <w:rPr>
          <w:b/>
          <w:i w:val="0"/>
          <w:smallCaps w:val="0"/>
          <w:strike w:val="0"/>
          <w:sz w:val="24"/>
          <w:u w:val="single"/>
        </w:rPr>
        <w:t xml:space="preserve">homogenizing </w:t>
      </w:r>
      <w:r>
        <w:rPr>
          <w:b/>
          <w:i w:val="0"/>
          <w:smallCaps w:val="0"/>
          <w:strike w:val="0"/>
          <w:sz w:val="24"/>
          <w:u w:val="single"/>
        </w:rPr>
        <w:t>endeavour</w:t>
      </w:r>
      <w:r>
        <w:rPr>
          <w:b/>
          <w:i w:val="0"/>
          <w:smallCaps w:val="0"/>
          <w:strike w:val="0"/>
          <w:sz w:val="22"/>
          <w:u w:val="single"/>
        </w:rPr>
        <w:t xml:space="preserve">, </w:t>
      </w:r>
      <w:r>
        <w:rPr>
          <w:b/>
          <w:i w:val="0"/>
          <w:smallCaps w:val="0"/>
          <w:strike w:val="0"/>
          <w:sz w:val="22"/>
          <w:highlight w:val="cyan"/>
          <w:u w:val="single"/>
        </w:rPr>
        <w:t xml:space="preserve">these studies have </w:t>
      </w:r>
      <w:r>
        <w:rPr>
          <w:b/>
          <w:i w:val="0"/>
          <w:smallCaps w:val="0"/>
          <w:strike w:val="0"/>
          <w:sz w:val="24"/>
          <w:highlight w:val="cyan"/>
          <w:u w:val="single"/>
        </w:rPr>
        <w:t>conflated</w:t>
      </w:r>
      <w:r>
        <w:rPr>
          <w:b/>
          <w:i w:val="0"/>
          <w:smallCaps w:val="0"/>
          <w:strike w:val="0"/>
          <w:sz w:val="22"/>
          <w:highlight w:val="cyan"/>
          <w:u w:val="single"/>
        </w:rPr>
        <w:t xml:space="preserve"> the </w:t>
      </w:r>
      <w:r>
        <w:rPr>
          <w:b/>
          <w:i w:val="0"/>
          <w:smallCaps w:val="0"/>
          <w:strike w:val="0"/>
          <w:sz w:val="24"/>
          <w:highlight w:val="cyan"/>
          <w:u w:val="single"/>
        </w:rPr>
        <w:t>peasant proprietor</w:t>
      </w:r>
      <w:r>
        <w:rPr>
          <w:b w:val="0"/>
          <w:i w:val="0"/>
          <w:smallCaps w:val="0"/>
          <w:strike w:val="0"/>
          <w:sz w:val="14"/>
          <w:u w:val="none"/>
        </w:rPr>
        <w:t xml:space="preserve"> or better-off subaltern </w:t>
      </w:r>
      <w:r>
        <w:rPr>
          <w:b/>
          <w:i w:val="0"/>
          <w:smallCaps w:val="0"/>
          <w:strike w:val="0"/>
          <w:sz w:val="22"/>
          <w:highlight w:val="cyan"/>
          <w:u w:val="single"/>
        </w:rPr>
        <w:t>with</w:t>
      </w:r>
      <w:r>
        <w:rPr>
          <w:b/>
          <w:i w:val="0"/>
          <w:smallCaps w:val="0"/>
          <w:strike w:val="0"/>
          <w:sz w:val="22"/>
          <w:u w:val="single"/>
        </w:rPr>
        <w:t xml:space="preserve"> the </w:t>
      </w:r>
      <w:r>
        <w:rPr>
          <w:b/>
          <w:i w:val="0"/>
          <w:smallCaps w:val="0"/>
          <w:strike w:val="0"/>
          <w:sz w:val="24"/>
          <w:highlight w:val="cyan"/>
          <w:u w:val="single"/>
        </w:rPr>
        <w:t>poor peasant</w:t>
      </w:r>
      <w:r>
        <w:rPr>
          <w:b w:val="0"/>
          <w:i w:val="0"/>
          <w:smallCaps w:val="0"/>
          <w:strike w:val="0"/>
          <w:sz w:val="14"/>
          <w:u w:val="none"/>
        </w:rPr>
        <w:t xml:space="preserve"> (Brass 2017), or the discrimination of the Western female subject with the double effaced experiences of ‘Third World’ women (hooks et al. 2004; Mohanty 1991; Spivak 1988). In archaeology, </w:t>
      </w:r>
      <w:r>
        <w:rPr>
          <w:b/>
          <w:i w:val="0"/>
          <w:smallCaps w:val="0"/>
          <w:strike w:val="0"/>
          <w:sz w:val="22"/>
          <w:highlight w:val="cyan"/>
          <w:u w:val="single"/>
        </w:rPr>
        <w:t>scholars have</w:t>
      </w:r>
      <w:r>
        <w:rPr>
          <w:b w:val="0"/>
          <w:i w:val="0"/>
          <w:smallCaps w:val="0"/>
          <w:strike w:val="0"/>
          <w:sz w:val="14"/>
          <w:u w:val="none"/>
        </w:rPr>
        <w:t xml:space="preserve"> very often </w:t>
      </w:r>
      <w:r>
        <w:rPr>
          <w:b/>
          <w:i w:val="0"/>
          <w:smallCaps w:val="0"/>
          <w:strike w:val="0"/>
          <w:sz w:val="24"/>
          <w:highlight w:val="cyan"/>
          <w:u w:val="single"/>
        </w:rPr>
        <w:t>conflated</w:t>
      </w:r>
      <w:r>
        <w:rPr>
          <w:b/>
          <w:i w:val="0"/>
          <w:smallCaps w:val="0"/>
          <w:strike w:val="0"/>
          <w:sz w:val="22"/>
          <w:u w:val="single"/>
        </w:rPr>
        <w:t xml:space="preserve"> the </w:t>
      </w:r>
      <w:r>
        <w:rPr>
          <w:b/>
          <w:i w:val="0"/>
          <w:smallCaps w:val="0"/>
          <w:strike w:val="0"/>
          <w:sz w:val="22"/>
          <w:highlight w:val="cyan"/>
          <w:u w:val="single"/>
        </w:rPr>
        <w:t xml:space="preserve">subaltern </w:t>
      </w:r>
      <w:r>
        <w:rPr>
          <w:b/>
          <w:i w:val="0"/>
          <w:smallCaps w:val="0"/>
          <w:strike w:val="0"/>
          <w:sz w:val="24"/>
          <w:highlight w:val="cyan"/>
          <w:u w:val="single"/>
        </w:rPr>
        <w:t>with</w:t>
      </w:r>
      <w:r>
        <w:rPr>
          <w:b/>
          <w:i w:val="0"/>
          <w:smallCaps w:val="0"/>
          <w:strike w:val="0"/>
          <w:sz w:val="22"/>
          <w:highlight w:val="cyan"/>
          <w:u w:val="single"/>
        </w:rPr>
        <w:t xml:space="preserve"> colonized and/or indigenous groups, </w:t>
      </w:r>
      <w:r>
        <w:rPr>
          <w:b/>
          <w:i w:val="0"/>
          <w:smallCaps w:val="0"/>
          <w:strike w:val="0"/>
          <w:sz w:val="24"/>
          <w:highlight w:val="cyan"/>
          <w:u w:val="single"/>
        </w:rPr>
        <w:t>disregarding</w:t>
      </w:r>
      <w:r>
        <w:rPr>
          <w:b w:val="0"/>
          <w:i w:val="0"/>
          <w:smallCaps w:val="0"/>
          <w:strike w:val="0"/>
          <w:sz w:val="14"/>
          <w:u w:val="none"/>
        </w:rPr>
        <w:t xml:space="preserve"> the </w:t>
      </w:r>
      <w:r>
        <w:rPr>
          <w:b/>
          <w:i w:val="0"/>
          <w:smallCaps w:val="0"/>
          <w:strike w:val="0"/>
          <w:sz w:val="24"/>
          <w:highlight w:val="cyan"/>
          <w:u w:val="single"/>
        </w:rPr>
        <w:t>heterogeneity</w:t>
      </w:r>
      <w:r>
        <w:rPr>
          <w:b w:val="0"/>
          <w:i w:val="0"/>
          <w:smallCaps w:val="0"/>
          <w:strike w:val="0"/>
          <w:sz w:val="14"/>
          <w:u w:val="none"/>
        </w:rPr>
        <w:t xml:space="preserve"> encompassed by the term (cf. Cañete Jiménez &amp; Vives-</w:t>
      </w:r>
      <w:r>
        <w:rPr>
          <w:b w:val="0"/>
          <w:i w:val="0"/>
          <w:smallCaps w:val="0"/>
          <w:strike w:val="0"/>
          <w:sz w:val="14"/>
          <w:u w:val="none"/>
        </w:rPr>
        <w:t>Ferrándiz</w:t>
      </w:r>
      <w:r>
        <w:rPr>
          <w:b w:val="0"/>
          <w:i w:val="0"/>
          <w:smallCaps w:val="0"/>
          <w:strike w:val="0"/>
          <w:sz w:val="14"/>
          <w:u w:val="none"/>
        </w:rPr>
        <w:t xml:space="preserve"> Sánchez 2011; Cuozzo &amp; Pellegrino 2016; </w:t>
      </w:r>
      <w:r>
        <w:rPr>
          <w:b w:val="0"/>
          <w:i w:val="0"/>
          <w:smallCaps w:val="0"/>
          <w:strike w:val="0"/>
          <w:sz w:val="14"/>
          <w:u w:val="none"/>
        </w:rPr>
        <w:t>Dietler</w:t>
      </w:r>
      <w:r>
        <w:rPr>
          <w:b w:val="0"/>
          <w:i w:val="0"/>
          <w:smallCaps w:val="0"/>
          <w:strike w:val="0"/>
          <w:sz w:val="14"/>
          <w:u w:val="none"/>
        </w:rPr>
        <w:t xml:space="preserve"> 2010; Ferris et al. 2014; Gnecco &amp; Ayala 2011; Kistler &amp; Mohr 2016; but see González-Ruibal 2019a; Liebmann &amp; Murphy 2010; Spencer-Wood 2010). </w:t>
      </w:r>
      <w:r>
        <w:rPr>
          <w:b/>
          <w:i w:val="0"/>
          <w:smallCaps w:val="0"/>
          <w:strike w:val="0"/>
          <w:sz w:val="22"/>
          <w:highlight w:val="cyan"/>
          <w:u w:val="single"/>
        </w:rPr>
        <w:t>They</w:t>
      </w:r>
      <w:r>
        <w:rPr>
          <w:b/>
          <w:i w:val="0"/>
          <w:smallCaps w:val="0"/>
          <w:strike w:val="0"/>
          <w:sz w:val="22"/>
          <w:u w:val="single"/>
        </w:rPr>
        <w:t xml:space="preserve"> have </w:t>
      </w:r>
      <w:r>
        <w:rPr>
          <w:b/>
          <w:i w:val="0"/>
          <w:smallCaps w:val="0"/>
          <w:strike w:val="0"/>
          <w:sz w:val="24"/>
          <w:highlight w:val="cyan"/>
          <w:u w:val="single"/>
        </w:rPr>
        <w:t>denied</w:t>
      </w:r>
      <w:r>
        <w:rPr>
          <w:b/>
          <w:i w:val="0"/>
          <w:smallCaps w:val="0"/>
          <w:strike w:val="0"/>
          <w:sz w:val="24"/>
          <w:u w:val="single"/>
        </w:rPr>
        <w:t xml:space="preserve"> colonial </w:t>
      </w:r>
      <w:r>
        <w:rPr>
          <w:b/>
          <w:i w:val="0"/>
          <w:smallCaps w:val="0"/>
          <w:strike w:val="0"/>
          <w:sz w:val="24"/>
          <w:highlight w:val="cyan"/>
          <w:u w:val="single"/>
        </w:rPr>
        <w:t>violence</w:t>
      </w:r>
      <w:r>
        <w:rPr>
          <w:b/>
          <w:i w:val="0"/>
          <w:smallCaps w:val="0"/>
          <w:strike w:val="0"/>
          <w:sz w:val="22"/>
          <w:highlight w:val="cyan"/>
          <w:u w:val="single"/>
        </w:rPr>
        <w:t xml:space="preserve"> by </w:t>
      </w:r>
      <w:r>
        <w:rPr>
          <w:b/>
          <w:i w:val="0"/>
          <w:smallCaps w:val="0"/>
          <w:strike w:val="0"/>
          <w:sz w:val="24"/>
          <w:highlight w:val="cyan"/>
          <w:u w:val="single"/>
        </w:rPr>
        <w:t>celebrating</w:t>
      </w:r>
      <w:r>
        <w:rPr>
          <w:b/>
          <w:i w:val="0"/>
          <w:smallCaps w:val="0"/>
          <w:strike w:val="0"/>
          <w:sz w:val="22"/>
          <w:u w:val="single"/>
        </w:rPr>
        <w:t xml:space="preserve"> a </w:t>
      </w:r>
      <w:r>
        <w:rPr>
          <w:b/>
          <w:i w:val="0"/>
          <w:smallCaps w:val="0"/>
          <w:strike w:val="0"/>
          <w:sz w:val="24"/>
          <w:highlight w:val="cyan"/>
          <w:u w:val="single"/>
        </w:rPr>
        <w:t>peaceful cohabitation</w:t>
      </w:r>
      <w:r>
        <w:rPr>
          <w:b/>
          <w:i w:val="0"/>
          <w:smallCaps w:val="0"/>
          <w:strike w:val="0"/>
          <w:sz w:val="22"/>
          <w:highlight w:val="cyan"/>
          <w:u w:val="single"/>
        </w:rPr>
        <w:t xml:space="preserve"> of colonist/colonized groups</w:t>
      </w:r>
      <w:r>
        <w:rPr>
          <w:b w:val="0"/>
          <w:i w:val="0"/>
          <w:smallCaps w:val="0"/>
          <w:strike w:val="0"/>
          <w:sz w:val="14"/>
          <w:u w:val="none"/>
        </w:rPr>
        <w:t xml:space="preserve"> (cf. Antonaccio 2013; Greco &amp; </w:t>
      </w:r>
      <w:r>
        <w:rPr>
          <w:b w:val="0"/>
          <w:i w:val="0"/>
          <w:smallCaps w:val="0"/>
          <w:strike w:val="0"/>
          <w:sz w:val="14"/>
          <w:u w:val="none"/>
        </w:rPr>
        <w:t>Mermati</w:t>
      </w:r>
      <w:r>
        <w:rPr>
          <w:b w:val="0"/>
          <w:i w:val="0"/>
          <w:smallCaps w:val="0"/>
          <w:strike w:val="0"/>
          <w:sz w:val="14"/>
          <w:u w:val="none"/>
        </w:rPr>
        <w:t xml:space="preserve"> 2011; Malkin 2002; but see Delgado </w:t>
      </w:r>
      <w:r>
        <w:rPr>
          <w:b w:val="0"/>
          <w:i w:val="0"/>
          <w:smallCaps w:val="0"/>
          <w:strike w:val="0"/>
          <w:sz w:val="14"/>
          <w:u w:val="none"/>
        </w:rPr>
        <w:t>Hervás</w:t>
      </w:r>
      <w:r>
        <w:rPr>
          <w:b w:val="0"/>
          <w:i w:val="0"/>
          <w:smallCaps w:val="0"/>
          <w:strike w:val="0"/>
          <w:sz w:val="14"/>
          <w:u w:val="none"/>
        </w:rPr>
        <w:t xml:space="preserve"> 2010; </w:t>
      </w:r>
      <w:r>
        <w:rPr>
          <w:b w:val="0"/>
          <w:i w:val="0"/>
          <w:smallCaps w:val="0"/>
          <w:strike w:val="0"/>
          <w:sz w:val="14"/>
          <w:u w:val="none"/>
        </w:rPr>
        <w:t>Zuchtriegel</w:t>
      </w:r>
      <w:r>
        <w:rPr>
          <w:b w:val="0"/>
          <w:i w:val="0"/>
          <w:smallCaps w:val="0"/>
          <w:strike w:val="0"/>
          <w:sz w:val="14"/>
          <w:u w:val="none"/>
        </w:rPr>
        <w:t xml:space="preserve"> 2018); or they have disproportionally represented indigenous people as vanquishers of European colonial powers—see especially the case of colonial Chile (</w:t>
      </w:r>
      <w:r>
        <w:rPr>
          <w:b w:val="0"/>
          <w:i w:val="0"/>
          <w:smallCaps w:val="0"/>
          <w:strike w:val="0"/>
          <w:sz w:val="14"/>
          <w:u w:val="none"/>
        </w:rPr>
        <w:t>Boccara</w:t>
      </w:r>
      <w:r>
        <w:rPr>
          <w:b w:val="0"/>
          <w:i w:val="0"/>
          <w:smallCaps w:val="0"/>
          <w:strike w:val="0"/>
          <w:sz w:val="14"/>
          <w:u w:val="none"/>
        </w:rPr>
        <w:t xml:space="preserve"> 2008; Dillehay 2007; Sauer 2015). </w:t>
      </w:r>
    </w:p>
    <w:p>
      <w:pPr>
        <w:spacing w:after="60"/>
      </w:pPr>
      <w:r>
        <w:rPr>
          <w:b w:val="0"/>
          <w:i w:val="0"/>
          <w:smallCaps w:val="0"/>
          <w:strike w:val="0"/>
          <w:sz w:val="14"/>
          <w:u w:val="none"/>
        </w:rPr>
        <w:t xml:space="preserve">However, </w:t>
      </w:r>
      <w:r>
        <w:rPr>
          <w:b/>
          <w:i w:val="0"/>
          <w:smallCaps w:val="0"/>
          <w:strike w:val="0"/>
          <w:sz w:val="22"/>
          <w:highlight w:val="cyan"/>
          <w:u w:val="single"/>
        </w:rPr>
        <w:t xml:space="preserve">subalterns are </w:t>
      </w:r>
      <w:r>
        <w:rPr>
          <w:b/>
          <w:i w:val="0"/>
          <w:smallCaps w:val="0"/>
          <w:strike w:val="0"/>
          <w:sz w:val="24"/>
          <w:highlight w:val="cyan"/>
          <w:u w:val="single"/>
        </w:rPr>
        <w:t>neither (only)</w:t>
      </w:r>
      <w:r>
        <w:rPr>
          <w:b/>
          <w:i w:val="0"/>
          <w:smallCaps w:val="0"/>
          <w:strike w:val="0"/>
          <w:sz w:val="22"/>
          <w:highlight w:val="cyan"/>
          <w:u w:val="single"/>
        </w:rPr>
        <w:t xml:space="preserve"> colonized people, nor </w:t>
      </w:r>
      <w:r>
        <w:rPr>
          <w:b/>
          <w:i w:val="0"/>
          <w:smallCaps w:val="0"/>
          <w:strike w:val="0"/>
          <w:sz w:val="24"/>
          <w:highlight w:val="cyan"/>
          <w:u w:val="single"/>
        </w:rPr>
        <w:t>homogeneous</w:t>
      </w:r>
      <w:r>
        <w:rPr>
          <w:b/>
          <w:i w:val="0"/>
          <w:smallCaps w:val="0"/>
          <w:strike w:val="0"/>
          <w:sz w:val="22"/>
          <w:u w:val="single"/>
        </w:rPr>
        <w:t xml:space="preserve">, </w:t>
      </w:r>
      <w:r>
        <w:rPr>
          <w:b/>
          <w:i w:val="0"/>
          <w:smallCaps w:val="0"/>
          <w:strike w:val="0"/>
          <w:sz w:val="24"/>
          <w:u w:val="single"/>
        </w:rPr>
        <w:t>quite the opposite</w:t>
      </w:r>
      <w:r>
        <w:rPr>
          <w:b/>
          <w:i w:val="0"/>
          <w:smallCaps w:val="0"/>
          <w:strike w:val="0"/>
          <w:sz w:val="22"/>
          <w:u w:val="single"/>
        </w:rPr>
        <w:t xml:space="preserve">. The </w:t>
      </w:r>
      <w:r>
        <w:rPr>
          <w:b/>
          <w:i w:val="0"/>
          <w:smallCaps w:val="0"/>
          <w:strike w:val="0"/>
          <w:sz w:val="22"/>
          <w:highlight w:val="cyan"/>
          <w:u w:val="single"/>
        </w:rPr>
        <w:t xml:space="preserve">subaltern is an </w:t>
      </w:r>
      <w:r>
        <w:rPr>
          <w:b/>
          <w:i w:val="0"/>
          <w:smallCaps w:val="0"/>
          <w:strike w:val="0"/>
          <w:sz w:val="24"/>
          <w:highlight w:val="cyan"/>
          <w:u w:val="single"/>
        </w:rPr>
        <w:t>invented concept</w:t>
      </w:r>
      <w:r>
        <w:rPr>
          <w:b/>
          <w:i w:val="0"/>
          <w:smallCaps w:val="0"/>
          <w:strike w:val="0"/>
          <w:sz w:val="22"/>
          <w:highlight w:val="cyan"/>
          <w:u w:val="single"/>
        </w:rPr>
        <w:t xml:space="preserve"> that </w:t>
      </w:r>
      <w:r>
        <w:rPr>
          <w:b/>
          <w:i w:val="0"/>
          <w:smallCaps w:val="0"/>
          <w:strike w:val="0"/>
          <w:sz w:val="24"/>
          <w:highlight w:val="cyan"/>
          <w:u w:val="single"/>
        </w:rPr>
        <w:t>no-one has ever claimed</w:t>
      </w:r>
      <w:r>
        <w:rPr>
          <w:b/>
          <w:i w:val="0"/>
          <w:smallCaps w:val="0"/>
          <w:strike w:val="0"/>
          <w:sz w:val="22"/>
          <w:u w:val="single"/>
        </w:rPr>
        <w:t xml:space="preserve">. It </w:t>
      </w:r>
      <w:r>
        <w:rPr>
          <w:b/>
          <w:i w:val="0"/>
          <w:smallCaps w:val="0"/>
          <w:strike w:val="0"/>
          <w:sz w:val="22"/>
          <w:highlight w:val="cyan"/>
          <w:u w:val="single"/>
        </w:rPr>
        <w:t>does not refer to</w:t>
      </w:r>
      <w:r>
        <w:rPr>
          <w:b/>
          <w:i w:val="0"/>
          <w:smallCaps w:val="0"/>
          <w:strike w:val="0"/>
          <w:sz w:val="22"/>
          <w:u w:val="single"/>
        </w:rPr>
        <w:t xml:space="preserve"> the </w:t>
      </w:r>
      <w:r>
        <w:rPr>
          <w:b/>
          <w:i w:val="0"/>
          <w:smallCaps w:val="0"/>
          <w:strike w:val="0"/>
          <w:sz w:val="22"/>
          <w:highlight w:val="cyan"/>
          <w:u w:val="single"/>
        </w:rPr>
        <w:t xml:space="preserve">identity of </w:t>
      </w:r>
      <w:r>
        <w:rPr>
          <w:b/>
          <w:i w:val="0"/>
          <w:smallCaps w:val="0"/>
          <w:strike w:val="0"/>
          <w:sz w:val="24"/>
          <w:highlight w:val="cyan"/>
          <w:u w:val="single"/>
        </w:rPr>
        <w:t>any</w:t>
      </w:r>
      <w:r>
        <w:rPr>
          <w:b/>
          <w:i w:val="0"/>
          <w:smallCaps w:val="0"/>
          <w:strike w:val="0"/>
          <w:sz w:val="24"/>
          <w:u w:val="single"/>
        </w:rPr>
        <w:t xml:space="preserve"> known </w:t>
      </w:r>
      <w:r>
        <w:rPr>
          <w:b/>
          <w:i w:val="0"/>
          <w:smallCaps w:val="0"/>
          <w:strike w:val="0"/>
          <w:sz w:val="24"/>
          <w:highlight w:val="cyan"/>
          <w:u w:val="single"/>
        </w:rPr>
        <w:t>social group</w:t>
      </w:r>
      <w:r>
        <w:rPr>
          <w:b w:val="0"/>
          <w:i w:val="0"/>
          <w:smallCaps w:val="0"/>
          <w:strike w:val="0"/>
          <w:sz w:val="14"/>
          <w:u w:val="none"/>
        </w:rPr>
        <w:t>,</w:t>
      </w:r>
      <w:r>
        <w:rPr>
          <w:b w:val="0"/>
          <w:i w:val="0"/>
          <w:smallCaps w:val="0"/>
          <w:strike w:val="0"/>
          <w:sz w:val="14"/>
          <w:u w:val="none"/>
        </w:rPr>
        <w:t xml:space="preserve"> nor is it an ideality shaped by political philosophers—peasant, proletariat, worker, citizen, indigenous, refugee, etc.—and asserted by historical beings for political reasons (Banerjee 2015, 39, 42–3). In fact, Gramsci stretched his notion of subalterns to a wide range of oppressed groups (1975, 2286): ‘Often, subaltern groups are originally of a different race (different religion and different culture) than the dominant groups, and they are often a mixture of different races, as it is the case of the slaves’. He also included peasants, religious groups and proletarians into the subaltern category (Gramsci 1975, 2286). In fact, Gramsci considered as subalterns all those subordinated groups whose political activity was ignored, misrepresented, or were on the margins of dominant discourses (Green 2013), </w:t>
      </w:r>
      <w:r>
        <w:rPr>
          <w:b w:val="0"/>
          <w:i w:val="0"/>
          <w:smallCaps w:val="0"/>
          <w:strike w:val="0"/>
          <w:sz w:val="14"/>
          <w:u w:val="none"/>
        </w:rPr>
        <w:t>similar to</w:t>
      </w:r>
      <w:r>
        <w:rPr>
          <w:b w:val="0"/>
          <w:i w:val="0"/>
          <w:smallCaps w:val="0"/>
          <w:strike w:val="0"/>
          <w:sz w:val="14"/>
          <w:u w:val="none"/>
        </w:rPr>
        <w:t xml:space="preserve"> the SSG in India (Arnold 1984; Chaturvedi 2000; Guha 1988a, 35).</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