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That recreates the </w:t>
      </w:r>
      <w:r>
        <w:rPr>
          <w:b/>
          <w:i w:val="0"/>
          <w:smallCaps w:val="0"/>
          <w:strike w:val="0"/>
          <w:sz w:val="26"/>
          <w:u w:val="single"/>
        </w:rPr>
        <w:t>narcissistic gaze</w:t>
      </w:r>
      <w:r>
        <w:rPr>
          <w:b/>
          <w:i w:val="0"/>
          <w:smallCaps w:val="0"/>
          <w:strike w:val="0"/>
          <w:sz w:val="26"/>
          <w:u w:val="none"/>
        </w:rPr>
        <w:t xml:space="preserve"> of imperialism which </w:t>
      </w:r>
      <w:r>
        <w:rPr>
          <w:b/>
          <w:i w:val="0"/>
          <w:smallCaps w:val="0"/>
          <w:strike w:val="0"/>
          <w:sz w:val="26"/>
          <w:u w:val="single"/>
        </w:rPr>
        <w:t>ruins the permutation</w:t>
      </w:r>
      <w:r>
        <w:rPr>
          <w:b/>
          <w:i w:val="0"/>
          <w:smallCaps w:val="0"/>
          <w:strike w:val="0"/>
          <w:sz w:val="26"/>
          <w:u w:val="none"/>
        </w:rPr>
        <w:t>.</w:t>
      </w:r>
    </w:p>
    <w:p>
      <w:pPr>
        <w:spacing w:after="80"/>
      </w:pPr>
      <w:r>
        <w:rPr>
          <w:b/>
          <w:i w:val="0"/>
          <w:smallCaps w:val="0"/>
          <w:strike w:val="0"/>
          <w:sz w:val="26"/>
          <w:u w:val="none"/>
        </w:rPr>
        <w:t>Shilliam</w:t>
      </w:r>
      <w:r>
        <w:rPr>
          <w:b/>
          <w:i w:val="0"/>
          <w:smallCaps w:val="0"/>
          <w:strike w:val="0"/>
          <w:sz w:val="26"/>
          <w:u w:val="none"/>
        </w:rPr>
        <w:t xml:space="preserve"> 15</w:t>
      </w:r>
      <w:r>
        <w:rPr>
          <w:b w:val="0"/>
          <w:i w:val="0"/>
          <w:smallCaps w:val="0"/>
          <w:strike w:val="0"/>
          <w:u w:val="none"/>
        </w:rPr>
        <w:t xml:space="preserve">, PhD, Professor of International Relations in the Department of Political Science at Johns Hopkins University. (Robbie, 11-13-2015, “Africa in Oceania: Thinking Besides the Subaltern,” Theory, Culture, &amp; Society, </w:t>
      </w:r>
      <w:r>
        <w:rPr>
          <w:b w:val="0"/>
          <w:i w:val="0"/>
          <w:smallCaps w:val="0"/>
          <w:strike w:val="0"/>
          <w:u w:val="none"/>
        </w:rPr>
        <w:t>https://www.theoryculturesociety.org/blog/robbie-shilliam-on-africa-in-oceania-thinking-besides-the-subaltern</w:t>
      </w:r>
      <w:r>
        <w:rPr>
          <w:b w:val="0"/>
          <w:i w:val="0"/>
          <w:smallCaps w:val="0"/>
          <w:strike w:val="0"/>
          <w:u w:val="none"/>
        </w:rPr>
        <w:t>)</w:t>
      </w:r>
    </w:p>
    <w:p>
      <w:pPr>
        <w:spacing w:after="60"/>
      </w:pPr>
      <w:r>
        <w:rPr>
          <w:b w:val="0"/>
          <w:i w:val="0"/>
          <w:smallCaps w:val="0"/>
          <w:strike w:val="0"/>
          <w:sz w:val="14"/>
          <w:u w:val="none"/>
        </w:rPr>
        <w:t xml:space="preserve">Perhaps what has been lost in this movement, then, is the consideration of epistemic justice as a first-order problem of intellectual inquiry into the (post)colonial world. I would even suggest that </w:t>
      </w:r>
      <w:r>
        <w:rPr>
          <w:b/>
          <w:i w:val="0"/>
          <w:smallCaps w:val="0"/>
          <w:strike w:val="0"/>
          <w:sz w:val="22"/>
          <w:u w:val="single"/>
        </w:rPr>
        <w:t xml:space="preserve">the </w:t>
      </w:r>
      <w:r>
        <w:rPr>
          <w:b/>
          <w:i w:val="0"/>
          <w:smallCaps w:val="0"/>
          <w:strike w:val="0"/>
          <w:sz w:val="22"/>
          <w:highlight w:val="cyan"/>
          <w:u w:val="single"/>
        </w:rPr>
        <w:t xml:space="preserve">subaltern </w:t>
      </w:r>
      <w:r>
        <w:rPr>
          <w:b/>
          <w:i w:val="0"/>
          <w:smallCaps w:val="0"/>
          <w:strike w:val="0"/>
          <w:sz w:val="22"/>
          <w:u w:val="single"/>
        </w:rPr>
        <w:t xml:space="preserve">has </w:t>
      </w:r>
      <w:r>
        <w:rPr>
          <w:b/>
          <w:i w:val="0"/>
          <w:smallCaps w:val="0"/>
          <w:strike w:val="0"/>
          <w:sz w:val="22"/>
          <w:highlight w:val="cyan"/>
          <w:u w:val="single"/>
        </w:rPr>
        <w:t>become</w:t>
      </w:r>
      <w:r>
        <w:rPr>
          <w:b/>
          <w:i w:val="0"/>
          <w:smallCaps w:val="0"/>
          <w:strike w:val="0"/>
          <w:sz w:val="22"/>
          <w:u w:val="single"/>
        </w:rPr>
        <w:t xml:space="preserve"> part of an </w:t>
      </w:r>
      <w:r>
        <w:rPr>
          <w:b/>
          <w:i w:val="0"/>
          <w:smallCaps w:val="0"/>
          <w:strike w:val="0"/>
          <w:sz w:val="24"/>
          <w:highlight w:val="cyan"/>
          <w:u w:val="single"/>
        </w:rPr>
        <w:t>academic disposition</w:t>
      </w:r>
      <w:r>
        <w:rPr>
          <w:b w:val="0"/>
          <w:i w:val="0"/>
          <w:smallCaps w:val="0"/>
          <w:strike w:val="0"/>
          <w:sz w:val="14"/>
          <w:u w:val="none"/>
        </w:rPr>
        <w:t xml:space="preserve"> – postcolonial studies, broadly conceived - </w:t>
      </w:r>
      <w:r>
        <w:rPr>
          <w:b/>
          <w:i w:val="0"/>
          <w:smallCaps w:val="0"/>
          <w:strike w:val="0"/>
          <w:sz w:val="22"/>
          <w:highlight w:val="cyan"/>
          <w:u w:val="single"/>
        </w:rPr>
        <w:t xml:space="preserve">that </w:t>
      </w:r>
      <w:r>
        <w:rPr>
          <w:b/>
          <w:i w:val="0"/>
          <w:smallCaps w:val="0"/>
          <w:strike w:val="0"/>
          <w:sz w:val="24"/>
          <w:highlight w:val="cyan"/>
          <w:u w:val="single"/>
        </w:rPr>
        <w:t>shares</w:t>
      </w:r>
      <w:r>
        <w:rPr>
          <w:b/>
          <w:i w:val="0"/>
          <w:smallCaps w:val="0"/>
          <w:strike w:val="0"/>
          <w:sz w:val="22"/>
          <w:u w:val="single"/>
        </w:rPr>
        <w:t xml:space="preserve"> much with </w:t>
      </w:r>
      <w:r>
        <w:rPr>
          <w:b/>
          <w:i w:val="0"/>
          <w:smallCaps w:val="0"/>
          <w:strike w:val="0"/>
          <w:sz w:val="22"/>
          <w:highlight w:val="cyan"/>
          <w:u w:val="single"/>
        </w:rPr>
        <w:t xml:space="preserve">the </w:t>
      </w:r>
      <w:r>
        <w:rPr>
          <w:b/>
          <w:i w:val="0"/>
          <w:smallCaps w:val="0"/>
          <w:strike w:val="0"/>
          <w:sz w:val="24"/>
          <w:highlight w:val="cyan"/>
          <w:u w:val="single"/>
        </w:rPr>
        <w:t>narcissistic "gaze"</w:t>
      </w:r>
      <w:r>
        <w:rPr>
          <w:b/>
          <w:i w:val="0"/>
          <w:smallCaps w:val="0"/>
          <w:strike w:val="0"/>
          <w:sz w:val="22"/>
          <w:highlight w:val="cyan"/>
          <w:u w:val="single"/>
        </w:rPr>
        <w:t xml:space="preserve"> of</w:t>
      </w:r>
      <w:r>
        <w:rPr>
          <w:b/>
          <w:i w:val="0"/>
          <w:smallCaps w:val="0"/>
          <w:strike w:val="0"/>
          <w:sz w:val="22"/>
          <w:u w:val="single"/>
        </w:rPr>
        <w:t xml:space="preserve"> the </w:t>
      </w:r>
      <w:r>
        <w:rPr>
          <w:b/>
          <w:i w:val="0"/>
          <w:smallCaps w:val="0"/>
          <w:strike w:val="0"/>
          <w:sz w:val="24"/>
          <w:highlight w:val="cyan"/>
          <w:u w:val="single"/>
        </w:rPr>
        <w:t>imperial world map</w:t>
      </w:r>
      <w:r>
        <w:rPr>
          <w:b w:val="0"/>
          <w:i w:val="0"/>
          <w:smallCaps w:val="0"/>
          <w:strike w:val="0"/>
          <w:sz w:val="14"/>
          <w:u w:val="none"/>
        </w:rPr>
        <w:t xml:space="preserve">, famously illustrated by John Charles Ready Colomb in 1886. </w:t>
      </w:r>
    </w:p>
    <w:p>
      <w:pPr>
        <w:spacing w:after="60"/>
      </w:pPr>
      <w:r>
        <w:rPr>
          <w:b/>
          <w:i w:val="0"/>
          <w:smallCaps w:val="0"/>
          <w:strike w:val="0"/>
          <w:sz w:val="22"/>
          <w:u w:val="single"/>
        </w:rPr>
        <w:t xml:space="preserve">The </w:t>
      </w:r>
      <w:r>
        <w:rPr>
          <w:b/>
          <w:i w:val="0"/>
          <w:smallCaps w:val="0"/>
          <w:strike w:val="0"/>
          <w:sz w:val="22"/>
          <w:highlight w:val="cyan"/>
          <w:u w:val="single"/>
        </w:rPr>
        <w:t xml:space="preserve">map features an </w:t>
      </w:r>
      <w:r>
        <w:rPr>
          <w:b/>
          <w:i w:val="0"/>
          <w:smallCaps w:val="0"/>
          <w:strike w:val="0"/>
          <w:sz w:val="24"/>
          <w:highlight w:val="cyan"/>
          <w:u w:val="single"/>
        </w:rPr>
        <w:t>array of peripheral others</w:t>
      </w:r>
      <w:r>
        <w:rPr>
          <w:b/>
          <w:i w:val="0"/>
          <w:smallCaps w:val="0"/>
          <w:strike w:val="0"/>
          <w:sz w:val="22"/>
          <w:highlight w:val="cyan"/>
          <w:u w:val="single"/>
        </w:rPr>
        <w:t xml:space="preserve"> </w:t>
      </w:r>
      <w:r>
        <w:rPr>
          <w:b/>
          <w:i w:val="0"/>
          <w:smallCaps w:val="0"/>
          <w:strike w:val="0"/>
          <w:sz w:val="22"/>
          <w:u w:val="single"/>
        </w:rPr>
        <w:t xml:space="preserve">– subalterns – </w:t>
      </w:r>
      <w:r>
        <w:rPr>
          <w:b/>
          <w:i w:val="0"/>
          <w:smallCaps w:val="0"/>
          <w:strike w:val="0"/>
          <w:sz w:val="22"/>
          <w:highlight w:val="cyan"/>
          <w:u w:val="single"/>
        </w:rPr>
        <w:t>looking</w:t>
      </w:r>
      <w:r>
        <w:rPr>
          <w:b/>
          <w:i w:val="0"/>
          <w:smallCaps w:val="0"/>
          <w:strike w:val="0"/>
          <w:sz w:val="22"/>
          <w:u w:val="single"/>
        </w:rPr>
        <w:t xml:space="preserve"> only </w:t>
      </w:r>
      <w:r>
        <w:rPr>
          <w:b/>
          <w:i w:val="0"/>
          <w:smallCaps w:val="0"/>
          <w:strike w:val="0"/>
          <w:sz w:val="22"/>
          <w:highlight w:val="cyan"/>
          <w:u w:val="single"/>
        </w:rPr>
        <w:t>towards</w:t>
      </w:r>
      <w:r>
        <w:rPr>
          <w:b/>
          <w:i w:val="0"/>
          <w:smallCaps w:val="0"/>
          <w:strike w:val="0"/>
          <w:sz w:val="22"/>
          <w:u w:val="single"/>
        </w:rPr>
        <w:t xml:space="preserve"> Britannica, the </w:t>
      </w:r>
      <w:r>
        <w:rPr>
          <w:b/>
          <w:i w:val="0"/>
          <w:smallCaps w:val="0"/>
          <w:strike w:val="0"/>
          <w:sz w:val="24"/>
          <w:highlight w:val="cyan"/>
          <w:u w:val="single"/>
        </w:rPr>
        <w:t>masterful self</w:t>
      </w:r>
      <w:r>
        <w:rPr>
          <w:b/>
          <w:i w:val="0"/>
          <w:smallCaps w:val="0"/>
          <w:strike w:val="0"/>
          <w:sz w:val="22"/>
          <w:highlight w:val="cyan"/>
          <w:u w:val="single"/>
        </w:rPr>
        <w:t xml:space="preserve"> who occupies the </w:t>
      </w:r>
      <w:r>
        <w:rPr>
          <w:b/>
          <w:i w:val="0"/>
          <w:smallCaps w:val="0"/>
          <w:strike w:val="0"/>
          <w:sz w:val="24"/>
          <w:highlight w:val="cyan"/>
          <w:u w:val="single"/>
        </w:rPr>
        <w:t>centre</w:t>
      </w:r>
      <w:r>
        <w:rPr>
          <w:b/>
          <w:i w:val="0"/>
          <w:smallCaps w:val="0"/>
          <w:strike w:val="0"/>
          <w:sz w:val="22"/>
          <w:u w:val="single"/>
        </w:rPr>
        <w:t xml:space="preserve">. </w:t>
      </w:r>
      <w:r>
        <w:rPr>
          <w:b/>
          <w:i w:val="0"/>
          <w:smallCaps w:val="0"/>
          <w:strike w:val="0"/>
          <w:sz w:val="24"/>
          <w:highlight w:val="cyan"/>
          <w:u w:val="single"/>
        </w:rPr>
        <w:t>Universal knowledge</w:t>
      </w:r>
      <w:r>
        <w:rPr>
          <w:b/>
          <w:i w:val="0"/>
          <w:smallCaps w:val="0"/>
          <w:strike w:val="0"/>
          <w:sz w:val="22"/>
          <w:highlight w:val="cyan"/>
          <w:u w:val="single"/>
        </w:rPr>
        <w:t xml:space="preserve"> is </w:t>
      </w:r>
      <w:r>
        <w:rPr>
          <w:b/>
          <w:i w:val="0"/>
          <w:smallCaps w:val="0"/>
          <w:strike w:val="0"/>
          <w:sz w:val="24"/>
          <w:highlight w:val="cyan"/>
          <w:u w:val="single"/>
        </w:rPr>
        <w:t>dispensed</w:t>
      </w:r>
      <w:r>
        <w:rPr>
          <w:b/>
          <w:i w:val="0"/>
          <w:smallCaps w:val="0"/>
          <w:strike w:val="0"/>
          <w:sz w:val="22"/>
          <w:highlight w:val="cyan"/>
          <w:u w:val="single"/>
        </w:rPr>
        <w:t xml:space="preserve"> at</w:t>
      </w:r>
      <w:r>
        <w:rPr>
          <w:b/>
          <w:i w:val="0"/>
          <w:smallCaps w:val="0"/>
          <w:strike w:val="0"/>
          <w:sz w:val="22"/>
          <w:u w:val="single"/>
        </w:rPr>
        <w:t xml:space="preserve"> the point of Britannica’s </w:t>
      </w:r>
      <w:r>
        <w:rPr>
          <w:b/>
          <w:i w:val="0"/>
          <w:smallCaps w:val="0"/>
          <w:strike w:val="0"/>
          <w:sz w:val="24"/>
          <w:highlight w:val="cyan"/>
          <w:u w:val="single"/>
        </w:rPr>
        <w:t>centred</w:t>
      </w:r>
      <w:r>
        <w:rPr>
          <w:b/>
          <w:i w:val="0"/>
          <w:smallCaps w:val="0"/>
          <w:strike w:val="0"/>
          <w:sz w:val="24"/>
          <w:highlight w:val="cyan"/>
          <w:u w:val="single"/>
        </w:rPr>
        <w:t xml:space="preserve"> perspective</w:t>
      </w:r>
      <w:r>
        <w:rPr>
          <w:b/>
          <w:i w:val="0"/>
          <w:smallCaps w:val="0"/>
          <w:strike w:val="0"/>
          <w:sz w:val="22"/>
          <w:highlight w:val="cyan"/>
          <w:u w:val="single"/>
        </w:rPr>
        <w:t>, and from</w:t>
      </w:r>
      <w:r>
        <w:rPr>
          <w:b/>
          <w:i w:val="0"/>
          <w:smallCaps w:val="0"/>
          <w:strike w:val="0"/>
          <w:sz w:val="22"/>
          <w:u w:val="single"/>
        </w:rPr>
        <w:t xml:space="preserve"> there </w:t>
      </w:r>
      <w:r>
        <w:rPr>
          <w:b/>
          <w:i w:val="0"/>
          <w:smallCaps w:val="0"/>
          <w:strike w:val="0"/>
          <w:sz w:val="22"/>
          <w:highlight w:val="cyan"/>
          <w:u w:val="single"/>
        </w:rPr>
        <w:t xml:space="preserve">all </w:t>
      </w:r>
      <w:r>
        <w:rPr>
          <w:b/>
          <w:i w:val="0"/>
          <w:smallCaps w:val="0"/>
          <w:strike w:val="0"/>
          <w:sz w:val="22"/>
          <w:u w:val="single"/>
        </w:rPr>
        <w:t xml:space="preserve">are </w:t>
      </w:r>
      <w:r>
        <w:rPr>
          <w:b/>
          <w:i w:val="0"/>
          <w:smallCaps w:val="0"/>
          <w:strike w:val="0"/>
          <w:sz w:val="24"/>
          <w:highlight w:val="cyan"/>
          <w:u w:val="single"/>
        </w:rPr>
        <w:t>named</w:t>
      </w:r>
      <w:r>
        <w:rPr>
          <w:b/>
          <w:i w:val="0"/>
          <w:smallCaps w:val="0"/>
          <w:strike w:val="0"/>
          <w:sz w:val="22"/>
          <w:highlight w:val="cyan"/>
          <w:u w:val="single"/>
        </w:rPr>
        <w:t xml:space="preserve"> and </w:t>
      </w:r>
      <w:r>
        <w:rPr>
          <w:b/>
          <w:i w:val="0"/>
          <w:smallCaps w:val="0"/>
          <w:strike w:val="0"/>
          <w:sz w:val="24"/>
          <w:highlight w:val="cyan"/>
          <w:u w:val="single"/>
        </w:rPr>
        <w:t>defined</w:t>
      </w:r>
      <w:r>
        <w:rPr>
          <w:b w:val="0"/>
          <w:i w:val="0"/>
          <w:smallCaps w:val="0"/>
          <w:strike w:val="0"/>
          <w:sz w:val="14"/>
          <w:u w:val="none"/>
        </w:rPr>
        <w:t>. Upon closer inspection, none of the peripheral figures (not even</w:t>
      </w:r>
      <w:r>
        <w:rPr>
          <w:b w:val="0"/>
          <w:i w:val="0"/>
          <w:smallCaps w:val="0"/>
          <w:strike w:val="0"/>
          <w:sz w:val="14"/>
          <w:u w:val="none"/>
        </w:rPr>
        <w:t xml:space="preserve"> white settlers) are making sideways glances; all roads lead to Rome: crop, mineral, goods, bodies, value, narrative, concept, Jesus. Hawaiki and Ethiopia-Zion could never connect. This disposition of "critical thought" that I am describing situates the Western self as the only entity that is critically knowable. </w:t>
      </w:r>
      <w:r>
        <w:rPr>
          <w:b/>
          <w:i w:val="0"/>
          <w:smallCaps w:val="0"/>
          <w:strike w:val="0"/>
          <w:sz w:val="22"/>
          <w:u w:val="single"/>
        </w:rPr>
        <w:t xml:space="preserve">The </w:t>
      </w:r>
      <w:r>
        <w:rPr>
          <w:b/>
          <w:i w:val="0"/>
          <w:smallCaps w:val="0"/>
          <w:strike w:val="0"/>
          <w:sz w:val="24"/>
          <w:highlight w:val="cyan"/>
          <w:u w:val="single"/>
        </w:rPr>
        <w:t>peripheral others</w:t>
      </w:r>
      <w:r>
        <w:rPr>
          <w:b/>
          <w:i w:val="0"/>
          <w:smallCaps w:val="0"/>
          <w:strike w:val="0"/>
          <w:sz w:val="22"/>
          <w:u w:val="single"/>
        </w:rPr>
        <w:t xml:space="preserve">, even if considered </w:t>
      </w:r>
      <w:r>
        <w:rPr>
          <w:b/>
          <w:i w:val="0"/>
          <w:smallCaps w:val="0"/>
          <w:strike w:val="0"/>
          <w:sz w:val="24"/>
          <w:u w:val="single"/>
        </w:rPr>
        <w:t>morally worthy</w:t>
      </w:r>
      <w:r>
        <w:rPr>
          <w:b/>
          <w:i w:val="0"/>
          <w:smallCaps w:val="0"/>
          <w:strike w:val="0"/>
          <w:sz w:val="22"/>
          <w:u w:val="single"/>
        </w:rPr>
        <w:t xml:space="preserve">, </w:t>
      </w:r>
      <w:r>
        <w:rPr>
          <w:b/>
          <w:i w:val="0"/>
          <w:smallCaps w:val="0"/>
          <w:strike w:val="0"/>
          <w:sz w:val="24"/>
          <w:u w:val="single"/>
        </w:rPr>
        <w:t>nevertheless</w:t>
      </w:r>
      <w:r>
        <w:rPr>
          <w:b/>
          <w:i w:val="0"/>
          <w:smallCaps w:val="0"/>
          <w:strike w:val="0"/>
          <w:sz w:val="22"/>
          <w:highlight w:val="cyan"/>
          <w:u w:val="single"/>
        </w:rPr>
        <w:t xml:space="preserve"> serve only to </w:t>
      </w:r>
      <w:r>
        <w:rPr>
          <w:b/>
          <w:i w:val="0"/>
          <w:smallCaps w:val="0"/>
          <w:strike w:val="0"/>
          <w:sz w:val="24"/>
          <w:highlight w:val="cyan"/>
          <w:u w:val="single"/>
        </w:rPr>
        <w:t>reflect</w:t>
      </w:r>
      <w:r>
        <w:rPr>
          <w:b/>
          <w:i w:val="0"/>
          <w:smallCaps w:val="0"/>
          <w:strike w:val="0"/>
          <w:sz w:val="22"/>
          <w:highlight w:val="cyan"/>
          <w:u w:val="single"/>
        </w:rPr>
        <w:t xml:space="preserve"> and </w:t>
      </w:r>
      <w:r>
        <w:rPr>
          <w:b/>
          <w:i w:val="0"/>
          <w:smallCaps w:val="0"/>
          <w:strike w:val="0"/>
          <w:sz w:val="24"/>
          <w:highlight w:val="cyan"/>
          <w:u w:val="single"/>
        </w:rPr>
        <w:t>refine</w:t>
      </w:r>
      <w:r>
        <w:rPr>
          <w:b/>
          <w:i w:val="0"/>
          <w:smallCaps w:val="0"/>
          <w:strike w:val="0"/>
          <w:sz w:val="22"/>
          <w:u w:val="single"/>
        </w:rPr>
        <w:t xml:space="preserve"> the </w:t>
      </w:r>
      <w:r>
        <w:rPr>
          <w:b/>
          <w:i w:val="0"/>
          <w:smallCaps w:val="0"/>
          <w:strike w:val="0"/>
          <w:sz w:val="24"/>
          <w:highlight w:val="cyan"/>
          <w:u w:val="single"/>
        </w:rPr>
        <w:t>Western self</w:t>
      </w:r>
      <w:r>
        <w:rPr>
          <w:b/>
          <w:i w:val="0"/>
          <w:smallCaps w:val="0"/>
          <w:strike w:val="0"/>
          <w:sz w:val="22"/>
          <w:u w:val="single"/>
        </w:rPr>
        <w:t>.</w:t>
      </w:r>
      <w:r>
        <w:rPr>
          <w:b w:val="0"/>
          <w:i w:val="0"/>
          <w:smallCaps w:val="0"/>
          <w:strike w:val="0"/>
          <w:sz w:val="14"/>
          <w:u w:val="none"/>
        </w:rPr>
        <w:t xml:space="preserve"> </w:t>
      </w:r>
    </w:p>
    <w:p>
      <w:pPr>
        <w:spacing w:after="60"/>
      </w:pPr>
      <w:r>
        <w:rPr>
          <w:b w:val="0"/>
          <w:i w:val="0"/>
          <w:smallCaps w:val="0"/>
          <w:strike w:val="0"/>
          <w:sz w:val="14"/>
          <w:u w:val="none"/>
        </w:rPr>
        <w:t xml:space="preserve">But </w:t>
      </w:r>
      <w:r>
        <w:rPr>
          <w:b/>
          <w:i w:val="0"/>
          <w:smallCaps w:val="0"/>
          <w:strike w:val="0"/>
          <w:sz w:val="22"/>
          <w:highlight w:val="cyan"/>
          <w:u w:val="single"/>
        </w:rPr>
        <w:t>if</w:t>
      </w:r>
      <w:r>
        <w:rPr>
          <w:b/>
          <w:i w:val="0"/>
          <w:smallCaps w:val="0"/>
          <w:strike w:val="0"/>
          <w:sz w:val="22"/>
          <w:u w:val="single"/>
        </w:rPr>
        <w:t xml:space="preserve"> the </w:t>
      </w:r>
      <w:r>
        <w:rPr>
          <w:b/>
          <w:i w:val="0"/>
          <w:smallCaps w:val="0"/>
          <w:strike w:val="0"/>
          <w:sz w:val="22"/>
          <w:highlight w:val="cyan"/>
          <w:u w:val="single"/>
        </w:rPr>
        <w:t>subaltern</w:t>
      </w:r>
      <w:r>
        <w:rPr>
          <w:b/>
          <w:i w:val="0"/>
          <w:smallCaps w:val="0"/>
          <w:strike w:val="0"/>
          <w:sz w:val="22"/>
          <w:u w:val="single"/>
        </w:rPr>
        <w:t xml:space="preserve"> has </w:t>
      </w:r>
      <w:r>
        <w:rPr>
          <w:b/>
          <w:i w:val="0"/>
          <w:smallCaps w:val="0"/>
          <w:strike w:val="0"/>
          <w:sz w:val="22"/>
          <w:highlight w:val="cyan"/>
          <w:u w:val="single"/>
        </w:rPr>
        <w:t>become</w:t>
      </w:r>
      <w:r>
        <w:rPr>
          <w:b/>
          <w:i w:val="0"/>
          <w:smallCaps w:val="0"/>
          <w:strike w:val="0"/>
          <w:sz w:val="22"/>
          <w:u w:val="single"/>
        </w:rPr>
        <w:t xml:space="preserve"> a </w:t>
      </w:r>
      <w:r>
        <w:rPr>
          <w:b/>
          <w:i w:val="0"/>
          <w:smallCaps w:val="0"/>
          <w:strike w:val="0"/>
          <w:sz w:val="24"/>
          <w:highlight w:val="cyan"/>
          <w:u w:val="single"/>
        </w:rPr>
        <w:t>philosophical category</w:t>
      </w:r>
      <w:r>
        <w:rPr>
          <w:b/>
          <w:i w:val="0"/>
          <w:smallCaps w:val="0"/>
          <w:strike w:val="0"/>
          <w:sz w:val="22"/>
          <w:highlight w:val="cyan"/>
          <w:u w:val="single"/>
        </w:rPr>
        <w:t xml:space="preserve"> of </w:t>
      </w:r>
      <w:r>
        <w:rPr>
          <w:b/>
          <w:i w:val="0"/>
          <w:smallCaps w:val="0"/>
          <w:strike w:val="0"/>
          <w:sz w:val="24"/>
          <w:highlight w:val="cyan"/>
          <w:u w:val="single"/>
        </w:rPr>
        <w:t>limitation</w:t>
      </w:r>
      <w:r>
        <w:rPr>
          <w:b/>
          <w:i w:val="0"/>
          <w:smallCaps w:val="0"/>
          <w:strike w:val="0"/>
          <w:sz w:val="22"/>
          <w:highlight w:val="cyan"/>
          <w:u w:val="single"/>
        </w:rPr>
        <w:t xml:space="preserve"> it </w:t>
      </w:r>
      <w:r>
        <w:rPr>
          <w:b/>
          <w:i w:val="0"/>
          <w:smallCaps w:val="0"/>
          <w:strike w:val="0"/>
          <w:sz w:val="24"/>
          <w:highlight w:val="cyan"/>
          <w:u w:val="single"/>
        </w:rPr>
        <w:t>cannot be</w:t>
      </w:r>
      <w:r>
        <w:rPr>
          <w:b/>
          <w:i w:val="0"/>
          <w:smallCaps w:val="0"/>
          <w:strike w:val="0"/>
          <w:sz w:val="22"/>
          <w:u w:val="single"/>
        </w:rPr>
        <w:t xml:space="preserve">, at the </w:t>
      </w:r>
      <w:r>
        <w:rPr>
          <w:b/>
          <w:i w:val="0"/>
          <w:smallCaps w:val="0"/>
          <w:strike w:val="0"/>
          <w:sz w:val="24"/>
          <w:u w:val="single"/>
        </w:rPr>
        <w:t>same time</w:t>
      </w:r>
      <w:r>
        <w:rPr>
          <w:b/>
          <w:i w:val="0"/>
          <w:smallCaps w:val="0"/>
          <w:strike w:val="0"/>
          <w:sz w:val="22"/>
          <w:u w:val="single"/>
        </w:rPr>
        <w:t xml:space="preserve">, a </w:t>
      </w:r>
      <w:r>
        <w:rPr>
          <w:b/>
          <w:i w:val="0"/>
          <w:smallCaps w:val="0"/>
          <w:strike w:val="0"/>
          <w:sz w:val="24"/>
          <w:highlight w:val="cyan"/>
          <w:u w:val="single"/>
        </w:rPr>
        <w:t>lived experience</w:t>
      </w:r>
      <w:r>
        <w:rPr>
          <w:b/>
          <w:i w:val="0"/>
          <w:smallCaps w:val="0"/>
          <w:strike w:val="0"/>
          <w:sz w:val="22"/>
          <w:u w:val="single"/>
        </w:rPr>
        <w:t>. For when a lived experience is</w:t>
      </w:r>
      <w:r>
        <w:rPr>
          <w:b w:val="0"/>
          <w:i w:val="0"/>
          <w:smallCaps w:val="0"/>
          <w:strike w:val="0"/>
          <w:sz w:val="14"/>
          <w:u w:val="none"/>
        </w:rPr>
        <w:t xml:space="preserve"> auto-ethnographically </w:t>
      </w:r>
      <w:r>
        <w:rPr>
          <w:b/>
          <w:i w:val="0"/>
          <w:smallCaps w:val="0"/>
          <w:strike w:val="0"/>
          <w:sz w:val="22"/>
          <w:u w:val="single"/>
        </w:rPr>
        <w:t>named as subaltern</w:t>
      </w:r>
      <w:r>
        <w:rPr>
          <w:b w:val="0"/>
          <w:i w:val="0"/>
          <w:smallCaps w:val="0"/>
          <w:strike w:val="0"/>
          <w:sz w:val="14"/>
          <w:u w:val="none"/>
        </w:rPr>
        <w:t xml:space="preserve"> (“I am a subaltern”) </w:t>
      </w:r>
      <w:r>
        <w:rPr>
          <w:b/>
          <w:i w:val="0"/>
          <w:smallCaps w:val="0"/>
          <w:strike w:val="0"/>
          <w:sz w:val="22"/>
          <w:u w:val="single"/>
        </w:rPr>
        <w:t xml:space="preserve">it does not complete the </w:t>
      </w:r>
      <w:r>
        <w:rPr>
          <w:b/>
          <w:i w:val="0"/>
          <w:smallCaps w:val="0"/>
          <w:strike w:val="0"/>
          <w:sz w:val="24"/>
          <w:u w:val="single"/>
        </w:rPr>
        <w:t>philosophical category</w:t>
      </w:r>
      <w:r>
        <w:rPr>
          <w:b/>
          <w:i w:val="0"/>
          <w:smallCaps w:val="0"/>
          <w:strike w:val="0"/>
          <w:sz w:val="22"/>
          <w:u w:val="single"/>
        </w:rPr>
        <w:t xml:space="preserve"> of the same name</w:t>
      </w:r>
      <w:r>
        <w:rPr>
          <w:b w:val="0"/>
          <w:i w:val="0"/>
          <w:smallCaps w:val="0"/>
          <w:strike w:val="0"/>
          <w:sz w:val="14"/>
          <w:u w:val="none"/>
        </w:rPr>
        <w:t xml:space="preserve"> (“the subaltern marks the limit of modern knowledge”); it runs beside that category instead, on a distinctly</w:t>
      </w:r>
      <w:r>
        <w:rPr>
          <w:b w:val="0"/>
          <w:i w:val="0"/>
          <w:smallCaps w:val="0"/>
          <w:strike w:val="0"/>
          <w:sz w:val="14"/>
          <w:u w:val="none"/>
        </w:rPr>
        <w:t xml:space="preserve"> different track. Concerned with epistemic justice rather than a modernist – and I would argue narcissistic - philosophy of limits, my book travels these tracks </w:t>
      </w:r>
      <w:r>
        <w:rPr>
          <w:b w:val="0"/>
          <w:i w:val="0"/>
          <w:smallCaps w:val="0"/>
          <w:strike w:val="0"/>
          <w:sz w:val="14"/>
          <w:u w:val="none"/>
        </w:rPr>
        <w:t>besides</w:t>
      </w:r>
      <w:r>
        <w:rPr>
          <w:b w:val="0"/>
          <w:i w:val="0"/>
          <w:smallCaps w:val="0"/>
          <w:strike w:val="0"/>
          <w:sz w:val="14"/>
          <w:u w:val="none"/>
        </w:rPr>
        <w:t xml:space="preserve"> the subaltern. The book's arguments dwell in living knowledge traditions that address global injustices in ways </w:t>
      </w:r>
      <w:r>
        <w:rPr>
          <w:b w:val="0"/>
          <w:i w:val="0"/>
          <w:smallCaps w:val="0"/>
          <w:strike w:val="0"/>
          <w:sz w:val="14"/>
          <w:u w:val="none"/>
        </w:rPr>
        <w:t>other-wise</w:t>
      </w:r>
      <w:r>
        <w:rPr>
          <w:b w:val="0"/>
          <w:i w:val="0"/>
          <w:smallCaps w:val="0"/>
          <w:strike w:val="0"/>
          <w:sz w:val="14"/>
          <w:u w:val="none"/>
        </w:rPr>
        <w:t xml:space="preserve"> to the colonial science of the gaze, living knowledge traditions that make the task of relating seminal to their cosmologies. Philosophies of limit defer the moment of relating. My book works with deep relation in the pursuit of epistemic justice. </w:t>
      </w:r>
    </w:p>
    <w:p>
      <w:pPr>
        <w:pStyle w:val="Caption"/>
      </w:pPr>
      <w:r>
        <w:t>Source: Sonics Neg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