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Putin goes down fighting.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Liana </w:t>
      </w:r>
      <w:r>
        <w:rPr>
          <w:b/>
          <w:i w:val="0"/>
          <w:smallCaps w:val="0"/>
          <w:strike w:val="0"/>
          <w:sz w:val="22"/>
          <w:u w:val="none"/>
        </w:rPr>
        <w:t>Fix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Fellow for Europe, author of </w:t>
      </w:r>
      <w:r>
        <w:rPr>
          <w:b w:val="0"/>
          <w:i/>
          <w:smallCaps w:val="0"/>
          <w:strike w:val="0"/>
          <w:sz w:val="16"/>
          <w:u w:val="none"/>
        </w:rPr>
        <w:t>A New German Power? Germany’s Role in European Russia Policy</w:t>
      </w:r>
      <w:r>
        <w:rPr>
          <w:b w:val="0"/>
          <w:i w:val="0"/>
          <w:smallCaps w:val="0"/>
          <w:strike w:val="0"/>
          <w:sz w:val="16"/>
          <w:u w:val="none"/>
        </w:rPr>
        <w:t>, adjunct faculty member at Georgetown University in the Center for German and European Studies and the Center for Eurasian, Russian, and East European Studies; Maria Snegovaya, Senior Fellow for Russia and Eurasia at the Center for Strategic and International Studies, 2/15/2024, "Leadership Change in Russia," Council on Foreign Relations, https://www.cfr.org/report/leadership-change-russia,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Historically, most scenarios of leadership change have necessitated military or paramilitary force. Therefore,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leadership change in Moscow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potentially require one or more security forces switching loyalties to sideline smaller factions and counter the </w:t>
      </w:r>
      <w:r>
        <w:rPr>
          <w:b w:val="0"/>
          <w:i w:val="0"/>
          <w:smallCaps w:val="0"/>
          <w:strike w:val="0"/>
          <w:sz w:val="22"/>
          <w:u w:val="single"/>
        </w:rPr>
        <w:t>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incumbent leader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fighting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of a conspiracy being detected early.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dynamic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violent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form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removal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likely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nonviolent forms (such as resignation). The </w:t>
      </w:r>
      <w:r>
        <w:rPr>
          <w:b w:val="0"/>
          <w:i w:val="0"/>
          <w:smallCaps w:val="0"/>
          <w:strike w:val="0"/>
          <w:sz w:val="22"/>
          <w:u w:val="single"/>
        </w:rPr>
        <w:t>current leadership’s suppression of internal criticism and systematic promotion of misinformation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—including about the strength of its own regime—can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misinterp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retation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of signals and violent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overreactions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