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Perception of the plan causes </w:t>
      </w:r>
      <w:r>
        <w:rPr>
          <w:b/>
          <w:i w:val="0"/>
          <w:smallCaps w:val="0"/>
          <w:strike w:val="0"/>
          <w:sz w:val="24"/>
          <w:u w:val="single"/>
        </w:rPr>
        <w:t>uncertainty</w:t>
      </w:r>
      <w:r>
        <w:rPr>
          <w:b/>
          <w:i w:val="0"/>
          <w:smallCaps w:val="0"/>
          <w:strike w:val="0"/>
          <w:sz w:val="24"/>
          <w:u w:val="none"/>
        </w:rPr>
        <w:t xml:space="preserve"> sufficient for the link.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Christian </w:t>
      </w:r>
      <w:r>
        <w:rPr>
          <w:b/>
          <w:i w:val="0"/>
          <w:smallCaps w:val="0"/>
          <w:strike w:val="0"/>
          <w:sz w:val="22"/>
          <w:u w:val="none"/>
        </w:rPr>
        <w:t>Bogmans 23</w:t>
      </w:r>
      <w:r>
        <w:rPr>
          <w:b w:val="0"/>
          <w:i w:val="0"/>
          <w:smallCaps w:val="0"/>
          <w:strike w:val="0"/>
          <w:sz w:val="16"/>
          <w:u w:val="none"/>
        </w:rPr>
        <w:t>, Ph.D. in Economics from Tilburg University, MPhil in International Economics and Business from the University of Groningen; Andrea Pescatori; Ervin Prifti, 6/20/2023, "The Impact of Climate Policy on Oil and Gas Investment," International Monetary Fund, Working Paper No. 2023/140,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empirical findings point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detrimental impact of climate policies,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associated uncertainty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investment in the upstream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industry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perceived increase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exposure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oil and gas firms to climate policies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6.5 percent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global decline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their capital expenditures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2016 to 2019 (i.e., a -1.45 percent annual rate), </w:t>
      </w:r>
      <w:r>
        <w:rPr>
          <w:b w:val="0"/>
          <w:i w:val="0"/>
          <w:smallCaps w:val="0"/>
          <w:strike w:val="0"/>
          <w:sz w:val="22"/>
          <w:u w:val="single"/>
        </w:rPr>
        <w:t>after controlling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oil market tightness (i.e, spot oil prices), global factors, and other </w:t>
      </w:r>
      <w:r>
        <w:rPr>
          <w:b w:val="0"/>
          <w:i w:val="0"/>
          <w:smallCaps w:val="0"/>
          <w:strike w:val="0"/>
          <w:sz w:val="22"/>
          <w:u w:val="single"/>
        </w:rPr>
        <w:t>typical firm-level control variables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 gap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more significant relative to the non-energy control group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also substantial within-industry heterogeneity with European oil and gas companies being affected the most. 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