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Perception</w:t>
      </w:r>
      <w:r>
        <w:rPr>
          <w:b/>
          <w:i w:val="0"/>
          <w:smallCaps w:val="0"/>
          <w:strike w:val="0"/>
          <w:sz w:val="24"/>
          <w:u w:val="none"/>
        </w:rPr>
        <w:t xml:space="preserve"> of climate polices singles to the rest of the industry and causes prices to drop </w:t>
      </w:r>
      <w:r>
        <w:rPr>
          <w:b/>
          <w:i w:val="0"/>
          <w:smallCaps w:val="0"/>
          <w:strike w:val="0"/>
          <w:sz w:val="24"/>
          <w:u w:val="single"/>
        </w:rPr>
        <w:t>before</w:t>
      </w:r>
      <w:r>
        <w:rPr>
          <w:b/>
          <w:i w:val="0"/>
          <w:smallCaps w:val="0"/>
          <w:strike w:val="0"/>
          <w:sz w:val="24"/>
          <w:u w:val="none"/>
        </w:rPr>
        <w:t xml:space="preserve"> </w:t>
      </w:r>
      <w:r>
        <w:rPr>
          <w:b/>
          <w:i w:val="0"/>
          <w:smallCaps w:val="0"/>
          <w:strike w:val="0"/>
          <w:sz w:val="24"/>
          <w:u w:val="none"/>
        </w:rPr>
        <w:t>the</w:t>
      </w:r>
      <w:r>
        <w:rPr>
          <w:b/>
          <w:i w:val="0"/>
          <w:smallCaps w:val="0"/>
          <w:strike w:val="0"/>
          <w:sz w:val="24"/>
          <w:u w:val="none"/>
        </w:rPr>
        <w:t xml:space="preserve"> good effects of the plan are seen. </w:t>
      </w:r>
    </w:p>
    <w:p>
      <w:pPr>
        <w:spacing w:after="80"/>
      </w:pPr>
      <w:r>
        <w:rPr>
          <w:b/>
          <w:i w:val="0"/>
          <w:smallCaps w:val="0"/>
          <w:strike w:val="0"/>
          <w:sz w:val="22"/>
          <w:u w:val="none"/>
        </w:rPr>
        <w:t>Sen and Schicfus 20</w:t>
      </w:r>
      <w:r>
        <w:rPr>
          <w:b w:val="0"/>
          <w:i w:val="0"/>
          <w:smallCaps w:val="0"/>
          <w:strike w:val="0"/>
          <w:sz w:val="16"/>
          <w:u w:val="none"/>
        </w:rPr>
        <w:t xml:space="preserve"> [Suphi; an assistant professor at the Environmental Economics and Natural Resources Group at Wageningen University; Marie-Theres, an economist for the ifo Institute, Center for Energy; Climate, and Resources, 03/21/2020, “Climate policy, stranded assets, and investors’ expectations,” Journal of Environmental Economics and Management, Vol 100, https://www.sciencedirect.com/science/article/pii/S0095069618307083#] iman</w:t>
      </w:r>
    </w:p>
    <w:p>
      <w:pPr>
        <w:spacing w:after="60"/>
      </w:pPr>
      <w:r>
        <w:rPr>
          <w:b w:val="0"/>
          <w:i w:val="0"/>
          <w:smallCaps w:val="0"/>
          <w:strike w:val="0"/>
          <w:sz w:val="16"/>
          <w:highlight w:val="cyan"/>
          <w:u w:val="single"/>
        </w:rPr>
        <w:t xml:space="preserve">Stranded asset </w:t>
      </w:r>
      <w:r>
        <w:rPr>
          <w:b/>
          <w:i w:val="0"/>
          <w:smallCaps w:val="0"/>
          <w:strike w:val="0"/>
          <w:sz w:val="22"/>
          <w:highlight w:val="cyan"/>
          <w:u w:val="single"/>
        </w:rPr>
        <w:t>risk</w:t>
      </w:r>
      <w:r>
        <w:rPr>
          <w:b w:val="0"/>
          <w:i w:val="0"/>
          <w:smallCaps w:val="0"/>
          <w:strike w:val="0"/>
          <w:sz w:val="16"/>
          <w:u w:val="single"/>
        </w:rPr>
        <w:t xml:space="preserve"> is </w:t>
      </w:r>
      <w:r>
        <w:rPr>
          <w:b w:val="0"/>
          <w:i w:val="0"/>
          <w:smallCaps w:val="0"/>
          <w:strike w:val="0"/>
          <w:sz w:val="16"/>
          <w:highlight w:val="cyan"/>
          <w:u w:val="single"/>
        </w:rPr>
        <w:t>relevant for</w:t>
      </w:r>
      <w:r>
        <w:rPr>
          <w:b w:val="0"/>
          <w:i w:val="0"/>
          <w:smallCaps w:val="0"/>
          <w:strike w:val="0"/>
          <w:sz w:val="16"/>
          <w:u w:val="single"/>
        </w:rPr>
        <w:t xml:space="preserve"> the </w:t>
      </w:r>
      <w:r>
        <w:rPr>
          <w:b w:val="0"/>
          <w:i w:val="0"/>
          <w:smallCaps w:val="0"/>
          <w:strike w:val="0"/>
          <w:sz w:val="16"/>
          <w:highlight w:val="cyan"/>
          <w:u w:val="single"/>
        </w:rPr>
        <w:t>energy sector</w:t>
      </w:r>
      <w:r>
        <w:rPr>
          <w:b w:val="0"/>
          <w:i w:val="0"/>
          <w:smallCaps w:val="0"/>
          <w:strike w:val="0"/>
          <w:sz w:val="16"/>
          <w:u w:val="none"/>
        </w:rPr>
        <w:t xml:space="preserve"> and beyond. Most </w:t>
      </w:r>
      <w:r>
        <w:rPr>
          <w:b/>
          <w:i w:val="0"/>
          <w:smallCaps w:val="0"/>
          <w:strike w:val="0"/>
          <w:sz w:val="22"/>
          <w:highlight w:val="cyan"/>
          <w:u w:val="single"/>
        </w:rPr>
        <w:t>fossil energy</w:t>
      </w:r>
      <w:r>
        <w:rPr>
          <w:b w:val="0"/>
          <w:i w:val="0"/>
          <w:smallCaps w:val="0"/>
          <w:strike w:val="0"/>
          <w:sz w:val="16"/>
          <w:u w:val="single"/>
        </w:rPr>
        <w:t xml:space="preserve"> assets are long-lived;</w:t>
      </w:r>
      <w:r>
        <w:rPr>
          <w:b w:val="0"/>
          <w:i w:val="0"/>
          <w:smallCaps w:val="0"/>
          <w:strike w:val="0"/>
          <w:sz w:val="16"/>
          <w:u w:val="none"/>
        </w:rPr>
        <w:t xml:space="preserve"> they usually </w:t>
      </w:r>
      <w:r>
        <w:rPr>
          <w:b w:val="0"/>
          <w:i w:val="0"/>
          <w:smallCaps w:val="0"/>
          <w:strike w:val="0"/>
          <w:sz w:val="16"/>
          <w:u w:val="single"/>
        </w:rPr>
        <w:t>require a large initial investment</w:t>
      </w:r>
      <w:r>
        <w:rPr>
          <w:b w:val="0"/>
          <w:i w:val="0"/>
          <w:smallCaps w:val="0"/>
          <w:strike w:val="0"/>
          <w:sz w:val="16"/>
          <w:u w:val="none"/>
        </w:rPr>
        <w:t xml:space="preserve">, but have relatively </w:t>
      </w:r>
      <w:r>
        <w:rPr>
          <w:b w:val="0"/>
          <w:i w:val="0"/>
          <w:smallCaps w:val="0"/>
          <w:strike w:val="0"/>
          <w:sz w:val="16"/>
          <w:u w:val="single"/>
        </w:rPr>
        <w:t>low operating costs</w:t>
      </w:r>
      <w:r>
        <w:rPr>
          <w:b w:val="0"/>
          <w:i w:val="0"/>
          <w:smallCaps w:val="0"/>
          <w:strike w:val="0"/>
          <w:sz w:val="16"/>
          <w:u w:val="none"/>
        </w:rPr>
        <w:t xml:space="preserve">. Davis and Socolow (2014) show that expected future cumulative emissions from the existing infrastructure of the global power sector have increased dramatically in the last decades. Such </w:t>
      </w:r>
      <w:r>
        <w:rPr>
          <w:b/>
          <w:i w:val="0"/>
          <w:smallCaps w:val="0"/>
          <w:strike w:val="0"/>
          <w:sz w:val="22"/>
          <w:highlight w:val="cyan"/>
          <w:u w:val="single"/>
        </w:rPr>
        <w:t>long-term</w:t>
      </w:r>
      <w:r>
        <w:rPr>
          <w:b w:val="0"/>
          <w:i w:val="0"/>
          <w:smallCaps w:val="0"/>
          <w:strike w:val="0"/>
          <w:sz w:val="16"/>
          <w:highlight w:val="cyan"/>
          <w:u w:val="single"/>
        </w:rPr>
        <w:t xml:space="preserve"> investments</w:t>
      </w:r>
      <w:r>
        <w:rPr>
          <w:b w:val="0"/>
          <w:i w:val="0"/>
          <w:smallCaps w:val="0"/>
          <w:strike w:val="0"/>
          <w:sz w:val="16"/>
          <w:u w:val="single"/>
        </w:rPr>
        <w:t xml:space="preserve"> have the potential </w:t>
      </w:r>
      <w:r>
        <w:rPr>
          <w:b w:val="0"/>
          <w:i w:val="0"/>
          <w:smallCaps w:val="0"/>
          <w:strike w:val="0"/>
          <w:sz w:val="16"/>
          <w:highlight w:val="cyan"/>
          <w:u w:val="single"/>
        </w:rPr>
        <w:t xml:space="preserve">to </w:t>
      </w:r>
      <w:r>
        <w:rPr>
          <w:b/>
          <w:i w:val="0"/>
          <w:smallCaps w:val="0"/>
          <w:strike w:val="0"/>
          <w:sz w:val="22"/>
          <w:highlight w:val="cyan"/>
          <w:u w:val="single"/>
        </w:rPr>
        <w:t>“lock in</w:t>
      </w:r>
      <w:r>
        <w:rPr>
          <w:b w:val="0"/>
          <w:i w:val="0"/>
          <w:smallCaps w:val="0"/>
          <w:strike w:val="0"/>
          <w:sz w:val="16"/>
          <w:highlight w:val="cyan"/>
          <w:u w:val="single"/>
        </w:rPr>
        <w:t xml:space="preserve">” carbon-intensive </w:t>
      </w:r>
      <w:r>
        <w:rPr>
          <w:b/>
          <w:i w:val="0"/>
          <w:smallCaps w:val="0"/>
          <w:strike w:val="0"/>
          <w:sz w:val="22"/>
          <w:highlight w:val="cyan"/>
          <w:u w:val="single"/>
        </w:rPr>
        <w:t>tec</w:t>
      </w:r>
      <w:r>
        <w:rPr>
          <w:b/>
          <w:i w:val="0"/>
          <w:smallCaps w:val="0"/>
          <w:strike w:val="0"/>
          <w:sz w:val="22"/>
          <w:u w:val="single"/>
        </w:rPr>
        <w:t>h</w:t>
      </w:r>
      <w:r>
        <w:rPr>
          <w:b w:val="0"/>
          <w:i w:val="0"/>
          <w:smallCaps w:val="0"/>
          <w:strike w:val="0"/>
          <w:sz w:val="16"/>
          <w:u w:val="single"/>
        </w:rPr>
        <w:t>nologies for a long</w:t>
      </w:r>
      <w:r>
        <w:rPr>
          <w:b w:val="0"/>
          <w:i w:val="0"/>
          <w:smallCaps w:val="0"/>
          <w:strike w:val="0"/>
          <w:sz w:val="16"/>
          <w:u w:val="none"/>
        </w:rPr>
        <w:t xml:space="preserve"> period of </w:t>
      </w:r>
      <w:r>
        <w:rPr>
          <w:b w:val="0"/>
          <w:i w:val="0"/>
          <w:smallCaps w:val="0"/>
          <w:strike w:val="0"/>
          <w:sz w:val="16"/>
          <w:u w:val="single"/>
        </w:rPr>
        <w:t>time</w:t>
      </w:r>
      <w:r>
        <w:rPr>
          <w:b w:val="0"/>
          <w:i w:val="0"/>
          <w:smallCaps w:val="0"/>
          <w:strike w:val="0"/>
          <w:sz w:val="16"/>
          <w:u w:val="none"/>
        </w:rPr>
        <w:t xml:space="preserve"> (Erickson et al., 2015).42 </w:t>
      </w:r>
      <w:r>
        <w:rPr>
          <w:b w:val="0"/>
          <w:i w:val="0"/>
          <w:smallCaps w:val="0"/>
          <w:strike w:val="0"/>
          <w:sz w:val="16"/>
          <w:u w:val="single"/>
        </w:rPr>
        <w:t xml:space="preserve">Calculations by </w:t>
      </w:r>
      <w:r>
        <w:rPr>
          <w:b/>
          <w:i w:val="0"/>
          <w:smallCaps w:val="0"/>
          <w:strike w:val="0"/>
          <w:sz w:val="22"/>
          <w:u w:val="single"/>
        </w:rPr>
        <w:t xml:space="preserve">IEA </w:t>
      </w:r>
      <w:r>
        <w:rPr>
          <w:b w:val="0"/>
          <w:i w:val="0"/>
          <w:smallCaps w:val="0"/>
          <w:strike w:val="0"/>
          <w:sz w:val="16"/>
          <w:u w:val="none"/>
        </w:rPr>
        <w:t xml:space="preserve">(2013) and Pfeiffer et al. (2016) conclude that the “2° capital stock” will already be reached in 2017. Investments in fossil capacities after 2017 are inefficient: they lead to “both larger carbon lock-ins and higher short-term emissions that need to be compensated by deeper emissions cuts in the long run” (IPCC, 2014), increasing the cost of climate change mitigation. Moreover, in order to achieve emission cuts in such a scenario, fossil assets need to be stranded. IEA (2013) provides a conservative estimate that the energy industry faces sunk costs of $ 120 billion due to fossil fuel plants being retired early, even if action to achieve the 2°C goal had started in 2012. For a scenario of delaying climate action until 2030 (and using a different methodology), IRENA (2017a) estimates stranded assets of $ 1.9 trillion in electricity generation, and an additional $ 7 trillion in upstream energy infrastructure (mostly oil production). This is approximately equivalent to 3.5% of global income, and implies a risk not just for </w:t>
      </w:r>
      <w:r>
        <w:rPr>
          <w:b w:val="0"/>
          <w:i w:val="0"/>
          <w:smallCaps w:val="0"/>
          <w:strike w:val="0"/>
          <w:sz w:val="16"/>
          <w:u w:val="single"/>
        </w:rPr>
        <w:t xml:space="preserve">the </w:t>
      </w:r>
      <w:r>
        <w:rPr>
          <w:b w:val="0"/>
          <w:i w:val="0"/>
          <w:smallCaps w:val="0"/>
          <w:strike w:val="0"/>
          <w:sz w:val="16"/>
          <w:highlight w:val="cyan"/>
          <w:u w:val="single"/>
        </w:rPr>
        <w:t xml:space="preserve">obviously affected </w:t>
      </w:r>
      <w:r>
        <w:rPr>
          <w:b/>
          <w:i w:val="0"/>
          <w:smallCaps w:val="0"/>
          <w:strike w:val="0"/>
          <w:sz w:val="22"/>
          <w:highlight w:val="cyan"/>
          <w:u w:val="single"/>
        </w:rPr>
        <w:t>energy industry</w:t>
      </w:r>
      <w:r>
        <w:rPr>
          <w:b w:val="0"/>
          <w:i w:val="0"/>
          <w:smallCaps w:val="0"/>
          <w:strike w:val="0"/>
          <w:sz w:val="16"/>
          <w:u w:val="single"/>
        </w:rPr>
        <w:t xml:space="preserve"> facing </w:t>
      </w:r>
      <w:r>
        <w:rPr>
          <w:b w:val="0"/>
          <w:i w:val="0"/>
          <w:smallCaps w:val="0"/>
          <w:strike w:val="0"/>
          <w:sz w:val="16"/>
          <w:highlight w:val="cyan"/>
          <w:u w:val="single"/>
        </w:rPr>
        <w:t>sunk costs:</w:t>
      </w:r>
      <w:r>
        <w:rPr>
          <w:b w:val="0"/>
          <w:i w:val="0"/>
          <w:smallCaps w:val="0"/>
          <w:strike w:val="0"/>
          <w:sz w:val="16"/>
          <w:u w:val="none"/>
        </w:rPr>
        <w:t xml:space="preserve"> international organizations, </w:t>
      </w:r>
      <w:r>
        <w:rPr>
          <w:b w:val="0"/>
          <w:i w:val="0"/>
          <w:smallCaps w:val="0"/>
          <w:strike w:val="0"/>
          <w:sz w:val="16"/>
          <w:u w:val="single"/>
        </w:rPr>
        <w:t xml:space="preserve">financial </w:t>
      </w:r>
      <w:r>
        <w:rPr>
          <w:b w:val="0"/>
          <w:i w:val="0"/>
          <w:smallCaps w:val="0"/>
          <w:strike w:val="0"/>
          <w:sz w:val="16"/>
          <w:highlight w:val="cyan"/>
          <w:u w:val="single"/>
        </w:rPr>
        <w:t>institutions</w:t>
      </w:r>
      <w:r>
        <w:rPr>
          <w:b w:val="0"/>
          <w:i w:val="0"/>
          <w:smallCaps w:val="0"/>
          <w:strike w:val="0"/>
          <w:sz w:val="16"/>
          <w:u w:val="none"/>
        </w:rPr>
        <w:t xml:space="preserve"> and regulators </w:t>
      </w:r>
      <w:r>
        <w:rPr>
          <w:b w:val="0"/>
          <w:i w:val="0"/>
          <w:smallCaps w:val="0"/>
          <w:strike w:val="0"/>
          <w:sz w:val="16"/>
          <w:highlight w:val="cyan"/>
          <w:u w:val="single"/>
        </w:rPr>
        <w:t>are</w:t>
      </w:r>
      <w:r>
        <w:rPr>
          <w:b w:val="0"/>
          <w:i w:val="0"/>
          <w:smallCaps w:val="0"/>
          <w:strike w:val="0"/>
          <w:sz w:val="16"/>
          <w:u w:val="single"/>
        </w:rPr>
        <w:t xml:space="preserve"> increasingly </w:t>
      </w:r>
      <w:r>
        <w:rPr>
          <w:b w:val="0"/>
          <w:i w:val="0"/>
          <w:smallCaps w:val="0"/>
          <w:strike w:val="0"/>
          <w:sz w:val="16"/>
          <w:highlight w:val="cyan"/>
          <w:u w:val="single"/>
        </w:rPr>
        <w:t>concerned about</w:t>
      </w:r>
      <w:r>
        <w:rPr>
          <w:b w:val="0"/>
          <w:i w:val="0"/>
          <w:smallCaps w:val="0"/>
          <w:strike w:val="0"/>
          <w:sz w:val="16"/>
          <w:u w:val="none"/>
        </w:rPr>
        <w:t xml:space="preserve"> the “</w:t>
      </w:r>
      <w:r>
        <w:rPr>
          <w:b w:val="0"/>
          <w:i w:val="0"/>
          <w:smallCaps w:val="0"/>
          <w:strike w:val="0"/>
          <w:sz w:val="16"/>
          <w:highlight w:val="cyan"/>
          <w:u w:val="single"/>
        </w:rPr>
        <w:t>transition risk</w:t>
      </w:r>
      <w:r>
        <w:rPr>
          <w:b w:val="0"/>
          <w:i w:val="0"/>
          <w:smallCaps w:val="0"/>
          <w:strike w:val="0"/>
          <w:sz w:val="16"/>
          <w:u w:val="single"/>
        </w:rPr>
        <w:t>” of climate policy</w:t>
      </w:r>
      <w:r>
        <w:rPr>
          <w:b/>
          <w:i w:val="0"/>
          <w:smallCaps w:val="0"/>
          <w:strike w:val="0"/>
          <w:sz w:val="22"/>
          <w:u w:val="single"/>
        </w:rPr>
        <w:t xml:space="preserve">, </w:t>
      </w:r>
      <w:r>
        <w:rPr>
          <w:b/>
          <w:i w:val="0"/>
          <w:smallCaps w:val="0"/>
          <w:strike w:val="0"/>
          <w:sz w:val="22"/>
          <w:highlight w:val="cyan"/>
          <w:u w:val="single"/>
        </w:rPr>
        <w:t>especially</w:t>
      </w:r>
      <w:r>
        <w:rPr>
          <w:b w:val="0"/>
          <w:i w:val="0"/>
          <w:smallCaps w:val="0"/>
          <w:strike w:val="0"/>
          <w:sz w:val="16"/>
          <w:u w:val="single"/>
        </w:rPr>
        <w:t xml:space="preserve"> </w:t>
      </w:r>
      <w:r>
        <w:rPr>
          <w:b w:val="0"/>
          <w:i w:val="0"/>
          <w:smallCaps w:val="0"/>
          <w:strike w:val="0"/>
          <w:sz w:val="16"/>
          <w:u w:val="none"/>
        </w:rPr>
        <w:t xml:space="preserve">about </w:t>
      </w:r>
      <w:r>
        <w:rPr>
          <w:b w:val="0"/>
          <w:i w:val="0"/>
          <w:smallCaps w:val="0"/>
          <w:strike w:val="0"/>
          <w:sz w:val="16"/>
          <w:u w:val="single"/>
        </w:rPr>
        <w:t>a s</w:t>
      </w:r>
      <w:r>
        <w:rPr>
          <w:b w:val="0"/>
          <w:i w:val="0"/>
          <w:smallCaps w:val="0"/>
          <w:strike w:val="0"/>
          <w:sz w:val="16"/>
          <w:highlight w:val="cyan"/>
          <w:u w:val="single"/>
        </w:rPr>
        <w:t>udden</w:t>
      </w:r>
      <w:r>
        <w:rPr>
          <w:b w:val="0"/>
          <w:i w:val="0"/>
          <w:smallCaps w:val="0"/>
          <w:strike w:val="0"/>
          <w:sz w:val="16"/>
          <w:u w:val="single"/>
        </w:rPr>
        <w:t xml:space="preserve"> </w:t>
      </w:r>
      <w:r>
        <w:rPr>
          <w:b w:val="0"/>
          <w:i w:val="0"/>
          <w:smallCaps w:val="0"/>
          <w:strike w:val="0"/>
          <w:sz w:val="16"/>
          <w:highlight w:val="cyan"/>
          <w:u w:val="single"/>
        </w:rPr>
        <w:t>re-pricing of assets</w:t>
      </w:r>
      <w:r>
        <w:rPr>
          <w:b w:val="0"/>
          <w:i w:val="0"/>
          <w:smallCaps w:val="0"/>
          <w:strike w:val="0"/>
          <w:sz w:val="16"/>
          <w:u w:val="none"/>
        </w:rPr>
        <w:t>.43</w:t>
      </w:r>
    </w:p>
    <w:p>
      <w:pPr>
        <w:spacing w:after="60"/>
      </w:pPr>
      <w:r>
        <w:rPr>
          <w:b w:val="0"/>
          <w:i w:val="0"/>
          <w:smallCaps w:val="0"/>
          <w:strike w:val="0"/>
          <w:sz w:val="16"/>
          <w:u w:val="none"/>
        </w:rPr>
        <w:t xml:space="preserve">A </w:t>
      </w:r>
      <w:r>
        <w:rPr>
          <w:b w:val="0"/>
          <w:i w:val="0"/>
          <w:smallCaps w:val="0"/>
          <w:strike w:val="0"/>
          <w:sz w:val="16"/>
          <w:highlight w:val="cyan"/>
          <w:u w:val="single"/>
        </w:rPr>
        <w:t>sudden devaluation</w:t>
      </w:r>
      <w:r>
        <w:rPr>
          <w:b w:val="0"/>
          <w:i w:val="0"/>
          <w:smallCaps w:val="0"/>
          <w:strike w:val="0"/>
          <w:sz w:val="16"/>
          <w:u w:val="single"/>
        </w:rPr>
        <w:t xml:space="preserve"> of energy companies </w:t>
      </w:r>
      <w:r>
        <w:rPr>
          <w:b w:val="0"/>
          <w:i w:val="0"/>
          <w:smallCaps w:val="0"/>
          <w:strike w:val="0"/>
          <w:sz w:val="16"/>
          <w:highlight w:val="cyan"/>
          <w:u w:val="single"/>
        </w:rPr>
        <w:t>will occur</w:t>
      </w:r>
      <w:r>
        <w:rPr>
          <w:b w:val="0"/>
          <w:i w:val="0"/>
          <w:smallCaps w:val="0"/>
          <w:strike w:val="0"/>
          <w:sz w:val="16"/>
          <w:u w:val="none"/>
        </w:rPr>
        <w:t xml:space="preserve"> only </w:t>
      </w:r>
      <w:r>
        <w:rPr>
          <w:b w:val="0"/>
          <w:i w:val="0"/>
          <w:smallCaps w:val="0"/>
          <w:strike w:val="0"/>
          <w:sz w:val="16"/>
          <w:u w:val="single"/>
        </w:rPr>
        <w:t xml:space="preserve">if expectations were not adjusted in accordance </w:t>
      </w:r>
      <w:r>
        <w:rPr>
          <w:b w:val="0"/>
          <w:i w:val="0"/>
          <w:smallCaps w:val="0"/>
          <w:strike w:val="0"/>
          <w:sz w:val="16"/>
          <w:u w:val="none"/>
        </w:rPr>
        <w:t xml:space="preserve">with </w:t>
      </w:r>
      <w:r>
        <w:rPr>
          <w:b w:val="0"/>
          <w:i w:val="0"/>
          <w:smallCaps w:val="0"/>
          <w:strike w:val="0"/>
          <w:sz w:val="16"/>
          <w:u w:val="single"/>
        </w:rPr>
        <w:t xml:space="preserve">the risk of </w:t>
      </w:r>
      <w:r>
        <w:rPr>
          <w:b/>
          <w:i w:val="0"/>
          <w:smallCaps w:val="0"/>
          <w:strike w:val="0"/>
          <w:sz w:val="22"/>
          <w:u w:val="single"/>
        </w:rPr>
        <w:t>asset stranding</w:t>
      </w:r>
      <w:r>
        <w:rPr>
          <w:b w:val="0"/>
          <w:i w:val="0"/>
          <w:smallCaps w:val="0"/>
          <w:strike w:val="0"/>
          <w:sz w:val="16"/>
          <w:u w:val="none"/>
        </w:rPr>
        <w:t xml:space="preserve">. </w:t>
      </w:r>
      <w:r>
        <w:rPr>
          <w:b w:val="0"/>
          <w:i w:val="0"/>
          <w:smallCaps w:val="0"/>
          <w:strike w:val="0"/>
          <w:sz w:val="16"/>
          <w:u w:val="single"/>
        </w:rPr>
        <w:t>Sudden changes in the stringency</w:t>
      </w:r>
      <w:r>
        <w:rPr>
          <w:b w:val="0"/>
          <w:i w:val="0"/>
          <w:smallCaps w:val="0"/>
          <w:strike w:val="0"/>
          <w:sz w:val="16"/>
          <w:u w:val="none"/>
        </w:rPr>
        <w:t xml:space="preserve"> of carbon policies, or expectations </w:t>
      </w:r>
      <w:r>
        <w:rPr>
          <w:b w:val="0"/>
          <w:i w:val="0"/>
          <w:smallCaps w:val="0"/>
          <w:strike w:val="0"/>
          <w:sz w:val="16"/>
          <w:u w:val="single"/>
        </w:rPr>
        <w:t xml:space="preserve">in the presence of tipping points </w:t>
      </w:r>
      <w:r>
        <w:rPr>
          <w:b w:val="0"/>
          <w:i w:val="0"/>
          <w:smallCaps w:val="0"/>
          <w:strike w:val="0"/>
          <w:sz w:val="16"/>
          <w:highlight w:val="cyan"/>
          <w:u w:val="single"/>
        </w:rPr>
        <w:t xml:space="preserve">can lead to </w:t>
      </w:r>
      <w:r>
        <w:rPr>
          <w:b/>
          <w:i w:val="0"/>
          <w:smallCaps w:val="0"/>
          <w:strike w:val="0"/>
          <w:sz w:val="22"/>
          <w:highlight w:val="cyan"/>
          <w:u w:val="single"/>
        </w:rPr>
        <w:t xml:space="preserve">abrupt </w:t>
      </w:r>
      <w:r>
        <w:rPr>
          <w:b w:val="0"/>
          <w:i w:val="0"/>
          <w:smallCaps w:val="0"/>
          <w:strike w:val="0"/>
          <w:sz w:val="16"/>
          <w:highlight w:val="cyan"/>
          <w:u w:val="single"/>
        </w:rPr>
        <w:t xml:space="preserve">repricing of </w:t>
      </w:r>
      <w:r>
        <w:rPr>
          <w:b/>
          <w:i w:val="0"/>
          <w:smallCaps w:val="0"/>
          <w:strike w:val="0"/>
          <w:sz w:val="22"/>
          <w:highlight w:val="cyan"/>
          <w:u w:val="single"/>
        </w:rPr>
        <w:t>fossil fuel</w:t>
      </w:r>
      <w:r>
        <w:rPr>
          <w:b w:val="0"/>
          <w:i w:val="0"/>
          <w:smallCaps w:val="0"/>
          <w:strike w:val="0"/>
          <w:sz w:val="16"/>
          <w:u w:val="single"/>
        </w:rPr>
        <w:t xml:space="preserve"> assets</w:t>
      </w:r>
      <w:r>
        <w:rPr>
          <w:b w:val="0"/>
          <w:i w:val="0"/>
          <w:smallCaps w:val="0"/>
          <w:strike w:val="0"/>
          <w:sz w:val="16"/>
          <w:u w:val="none"/>
        </w:rPr>
        <w:t>. Given energy companies' size and interrelation with the rest of the economy, policymakers may regard energy companies as “too big to fail.” For this and other political economy reasons,44 policymakers may opt for compensation policies, and investors may expect them to do so. Compensations, then, are almost a self-fulfilling prophecy: if they are expected, they will be necessary in order to avoid larger shocks.45 Therefore, understanding the interaction between policy making and investors’ expectations is essential for the design of climate policies. Our results suggest that early and credible commitment to climate policies and whether they involve compensation payments or not is crucial. Such clear signals to financial markets can avoid a disruptive and unorderly energy transition and macro shocks, while directing capital towards climate-friendly technologies. We believe that further research in similar contexts can help to generalize these results, or to identify the important factors in the formation of expectations regarding climate related risks.</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