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Climate polices </w:t>
      </w:r>
      <w:r>
        <w:rPr>
          <w:b/>
          <w:i w:val="0"/>
          <w:smallCaps w:val="0"/>
          <w:strike w:val="0"/>
          <w:sz w:val="24"/>
          <w:u w:val="single"/>
        </w:rPr>
        <w:t>destroy</w:t>
      </w:r>
      <w:r>
        <w:rPr>
          <w:b/>
          <w:i w:val="0"/>
          <w:smallCaps w:val="0"/>
          <w:strike w:val="0"/>
          <w:sz w:val="24"/>
          <w:u w:val="none"/>
        </w:rPr>
        <w:t xml:space="preserve"> oils value taking their </w:t>
      </w:r>
      <w:r>
        <w:rPr>
          <w:b/>
          <w:i w:val="0"/>
          <w:smallCaps w:val="0"/>
          <w:strike w:val="0"/>
          <w:sz w:val="24"/>
          <w:u w:val="single"/>
        </w:rPr>
        <w:t>prices</w:t>
      </w:r>
      <w:r>
        <w:rPr>
          <w:b/>
          <w:i w:val="0"/>
          <w:smallCaps w:val="0"/>
          <w:strike w:val="0"/>
          <w:sz w:val="24"/>
          <w:u w:val="none"/>
        </w:rPr>
        <w:t xml:space="preserve"> down with them.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McBride 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[Jameson McBride; Senior Research Analyst in the energy program at the Breakthrough Institute, 9/11/2022; “Oil and Gas Assets at Risk,”https://thebreakthrough.org/articles/oil-and-gas-assets-at-risk-impacts-of-declining-fossil-production-in-climate-scenarios-in-the-us] iman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progressively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intensifying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commitments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reduce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fossil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carbon emissions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both stated and middle-ground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climate and energy policies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lower bound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terms of their </w:t>
      </w:r>
      <w:r>
        <w:rPr>
          <w:b/>
          <w:i w:val="0"/>
          <w:smallCaps w:val="0"/>
          <w:strike w:val="0"/>
          <w:sz w:val="22"/>
          <w:u w:val="single"/>
        </w:rPr>
        <w:t>ambition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Strengthened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climate policies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added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penetration from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clean energy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severely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reduce demand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gas in the global market. At the same time, our findings project that the United States will remain a major producer of oil and gas, particularly given the cost-competitiveness of US gas production and modeled future expansion of the transoceanic LNG trade.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Yet the regional and local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economics of </w:t>
      </w:r>
      <w:r>
        <w:rPr>
          <w:b/>
          <w:i w:val="0"/>
          <w:smallCaps w:val="0"/>
          <w:strike w:val="0"/>
          <w:sz w:val="22"/>
          <w:u w:val="single"/>
        </w:rPr>
        <w:t xml:space="preserve">oil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and gas production across the United States </w:t>
      </w:r>
      <w:r>
        <w:rPr>
          <w:b w:val="0"/>
          <w:i w:val="0"/>
          <w:smallCaps w:val="0"/>
          <w:strike w:val="0"/>
          <w:sz w:val="22"/>
          <w:u w:val="single"/>
        </w:rPr>
        <w:t>are highly heterogeneous</w:t>
      </w:r>
      <w:r>
        <w:rPr>
          <w:b w:val="0"/>
          <w:i w:val="0"/>
          <w:smallCaps w:val="0"/>
          <w:strike w:val="0"/>
          <w:sz w:val="14"/>
          <w:u w:val="none"/>
        </w:rPr>
        <w:t>, and this study identifies counties nationwide where current production may become non-competitive over the next two decades as the shrinking market eliminates high-cost producers.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Our interactive national map explores the magnitude of estimated non-competitive oil and gas production and the potential losses of associated tax revenue and sectoral jobs associated with reduced future production for a range of future dates and different scenarios.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Cost-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competitiveness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numerous factor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influence oil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gas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productio</w:t>
      </w:r>
      <w:r>
        <w:rPr>
          <w:b/>
          <w:i w:val="0"/>
          <w:smallCaps w:val="0"/>
          <w:strike w:val="0"/>
          <w:sz w:val="22"/>
          <w:u w:val="single"/>
        </w:rPr>
        <w:t>n</w:t>
      </w:r>
      <w:r>
        <w:rPr>
          <w:b w:val="0"/>
          <w:i w:val="0"/>
          <w:smallCaps w:val="0"/>
          <w:strike w:val="0"/>
          <w:sz w:val="14"/>
          <w:u w:val="none"/>
        </w:rPr>
        <w:t>, with myriad considerations like access to markets, local policies, or product characteristics affecting operational decision-making. Even so, by spatially visualizing and quantifying the potential impacts faced by higher-cost producers, our interactive map can serve as a guide for local policy makers and community stakeholders seeking to assess future economic risks.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Heterogeneous but structural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gas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destruction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the United States also emphasizes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acute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need for public policies to promote economic </w:t>
      </w:r>
      <w:r>
        <w:rPr>
          <w:b/>
          <w:i w:val="0"/>
          <w:smallCaps w:val="0"/>
          <w:strike w:val="0"/>
          <w:sz w:val="22"/>
          <w:u w:val="single"/>
        </w:rPr>
        <w:t>diversification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workforce reorganization </w:t>
      </w:r>
      <w:r>
        <w:rPr>
          <w:b w:val="0"/>
          <w:i w:val="0"/>
          <w:smallCaps w:val="0"/>
          <w:strike w:val="0"/>
          <w:sz w:val="22"/>
          <w:u w:val="single"/>
        </w:rPr>
        <w:t>in communities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highly </w:t>
      </w:r>
      <w:r>
        <w:rPr>
          <w:b w:val="0"/>
          <w:i w:val="0"/>
          <w:smallCaps w:val="0"/>
          <w:strike w:val="0"/>
          <w:sz w:val="22"/>
          <w:u w:val="single"/>
        </w:rPr>
        <w:t>dependent on the oil and gas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sector. Historical policy measures as well as existing local, state, and international policies provide numerous models for potential federal measures to support oil and gas workers and communities.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