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Limiting warming below 2°C </w:t>
      </w:r>
      <w:r>
        <w:rPr>
          <w:b/>
          <w:i w:val="0"/>
          <w:smallCaps w:val="0"/>
          <w:strike w:val="0"/>
          <w:sz w:val="24"/>
          <w:u w:val="single"/>
        </w:rPr>
        <w:t>slashes</w:t>
      </w:r>
      <w:r>
        <w:rPr>
          <w:b/>
          <w:i w:val="0"/>
          <w:smallCaps w:val="0"/>
          <w:strike w:val="0"/>
          <w:sz w:val="24"/>
          <w:u w:val="none"/>
        </w:rPr>
        <w:t xml:space="preserve"> oil valuations by one-quarter. </w:t>
      </w:r>
    </w:p>
    <w:p>
      <w:pPr>
        <w:spacing w:after="80"/>
      </w:pPr>
      <w:r>
        <w:rPr>
          <w:b w:val="0"/>
          <w:i w:val="0"/>
          <w:smallCaps w:val="0"/>
          <w:strike w:val="0"/>
          <w:sz w:val="16"/>
          <w:u w:val="none"/>
        </w:rPr>
        <w:t xml:space="preserve">Frederick </w:t>
      </w:r>
      <w:r>
        <w:rPr>
          <w:b/>
          <w:i w:val="0"/>
          <w:smallCaps w:val="0"/>
          <w:strike w:val="0"/>
          <w:sz w:val="22"/>
          <w:u w:val="none"/>
        </w:rPr>
        <w:t>van der Ploeg 19</w:t>
      </w:r>
      <w:r>
        <w:rPr>
          <w:b w:val="0"/>
          <w:i w:val="0"/>
          <w:smallCaps w:val="0"/>
          <w:strike w:val="0"/>
          <w:sz w:val="16"/>
          <w:u w:val="none"/>
        </w:rPr>
        <w:t>, Research Director of Oxford Centre for Analysis of Resource Rich Economies, Ph.D. from Cambridge University; Armon Rezai, Deupty Head of the Political Economy of Public Policy Institute at the Vienna University of Economics and Business, July 2019, "The Risk of Policy Tipping and Stranded Carbon Assets," CESifo Working Paper, Number 7769, christian</w:t>
      </w:r>
    </w:p>
    <w:p>
      <w:pPr>
        <w:spacing w:after="60"/>
      </w:pPr>
      <w:r>
        <w:rPr>
          <w:b w:val="0"/>
          <w:i w:val="0"/>
          <w:smallCaps w:val="0"/>
          <w:strike w:val="0"/>
          <w:sz w:val="16"/>
          <w:u w:val="none"/>
        </w:rPr>
        <w:t xml:space="preserve">6.3. First best: Immediate implementation of carbon tax </w:t>
      </w:r>
      <w:r>
        <w:rPr>
          <w:b w:val="0"/>
          <w:i w:val="0"/>
          <w:smallCaps w:val="0"/>
          <w:strike w:val="0"/>
          <w:sz w:val="22"/>
          <w:highlight w:val="cyan"/>
          <w:u w:val="single"/>
        </w:rPr>
        <w:t xml:space="preserve">to keep </w:t>
      </w:r>
      <w:r>
        <w:rPr>
          <w:b/>
          <w:i w:val="0"/>
          <w:smallCaps w:val="0"/>
          <w:strike w:val="0"/>
          <w:sz w:val="22"/>
          <w:highlight w:val="cyan"/>
          <w:u w:val="single"/>
        </w:rPr>
        <w:t>global warming below 2°C</w:t>
      </w:r>
      <w:r>
        <w:rPr>
          <w:b w:val="0"/>
          <w:i w:val="0"/>
          <w:smallCaps w:val="0"/>
          <w:strike w:val="0"/>
          <w:sz w:val="22"/>
          <w:u w:val="single"/>
        </w:rPr>
        <w:t xml:space="preserve"> </w:t>
      </w:r>
    </w:p>
    <w:p>
      <w:pPr>
        <w:spacing w:after="60"/>
      </w:pPr>
      <w:r>
        <w:rPr>
          <w:b w:val="0"/>
          <w:i w:val="0"/>
          <w:smallCaps w:val="0"/>
          <w:strike w:val="0"/>
          <w:sz w:val="16"/>
          <w:u w:val="none"/>
        </w:rPr>
        <w:t xml:space="preserve">To limit global warming and curb demand for fossil fuel, the government can impose a carbon tax which limits cumulative emissions to 300 GtC. Cost-efficient policy immediately implements a carbon tax of $180 per tC ($ 49 per tCO2) which grows exponentially at a rate equal to the market rate of interest (4% per year) until fossil fuel is priced out of the market in 50 years’ time. 20 After the end of the fossil era only a maintenance tax is required which moves in tandem with the cost for renewable and fossil energy, maintaining a wedge such that fossil fuel remains uncompetitive despite any occasional discoveries in oil and gas reserves which might occur in the future. This forceful pricing of carbon shifts </w:t>
      </w:r>
      <w:r>
        <w:rPr>
          <w:b w:val="0"/>
          <w:i w:val="0"/>
          <w:smallCaps w:val="0"/>
          <w:strike w:val="0"/>
          <w:sz w:val="22"/>
          <w:u w:val="single"/>
        </w:rPr>
        <w:t>downward</w:t>
      </w:r>
      <w:r>
        <w:rPr>
          <w:b w:val="0"/>
          <w:i w:val="0"/>
          <w:smallCaps w:val="0"/>
          <w:strike w:val="0"/>
          <w:sz w:val="16"/>
          <w:u w:val="none"/>
        </w:rPr>
        <w:t xml:space="preserve"> the </w:t>
      </w:r>
      <w:r>
        <w:rPr>
          <w:b w:val="0"/>
          <w:i w:val="0"/>
          <w:smallCaps w:val="0"/>
          <w:strike w:val="0"/>
          <w:sz w:val="22"/>
          <w:u w:val="single"/>
        </w:rPr>
        <w:t>demand for fossil fuel</w:t>
      </w:r>
      <w:r>
        <w:rPr>
          <w:b w:val="0"/>
          <w:i w:val="0"/>
          <w:smallCaps w:val="0"/>
          <w:strike w:val="0"/>
          <w:sz w:val="16"/>
          <w:u w:val="none"/>
        </w:rPr>
        <w:t xml:space="preserve"> and the extraction trajectory in Figure 2 (green, long-dashed). </w:t>
      </w:r>
      <w:r>
        <w:rPr>
          <w:b w:val="0"/>
          <w:i w:val="0"/>
          <w:smallCaps w:val="0"/>
          <w:strike w:val="0"/>
          <w:sz w:val="22"/>
          <w:u w:val="single"/>
        </w:rPr>
        <w:t xml:space="preserve">As a result, </w:t>
      </w:r>
      <w:r>
        <w:rPr>
          <w:b w:val="0"/>
          <w:i w:val="0"/>
          <w:smallCaps w:val="0"/>
          <w:strike w:val="0"/>
          <w:sz w:val="22"/>
          <w:highlight w:val="cyan"/>
          <w:u w:val="single"/>
        </w:rPr>
        <w:t>investment</w:t>
      </w:r>
      <w:r>
        <w:rPr>
          <w:b w:val="0"/>
          <w:i w:val="0"/>
          <w:smallCaps w:val="0"/>
          <w:strike w:val="0"/>
          <w:sz w:val="22"/>
          <w:u w:val="single"/>
        </w:rPr>
        <w:t xml:space="preserve"> in </w:t>
      </w:r>
      <w:r>
        <w:rPr>
          <w:b w:val="0"/>
          <w:i w:val="0"/>
          <w:smallCaps w:val="0"/>
          <w:strike w:val="0"/>
          <w:sz w:val="22"/>
          <w:highlight w:val="cyan"/>
          <w:u w:val="single"/>
        </w:rPr>
        <w:t>exploration capital grinds to a halt, lowering</w:t>
      </w:r>
      <w:r>
        <w:rPr>
          <w:b w:val="0"/>
          <w:i w:val="0"/>
          <w:smallCaps w:val="0"/>
          <w:strike w:val="0"/>
          <w:sz w:val="22"/>
          <w:u w:val="single"/>
        </w:rPr>
        <w:t xml:space="preserve"> the </w:t>
      </w:r>
      <w:r>
        <w:rPr>
          <w:b w:val="0"/>
          <w:i w:val="0"/>
          <w:smallCaps w:val="0"/>
          <w:strike w:val="0"/>
          <w:sz w:val="22"/>
          <w:highlight w:val="cyan"/>
          <w:u w:val="single"/>
        </w:rPr>
        <w:t>stock</w:t>
      </w:r>
      <w:r>
        <w:rPr>
          <w:b w:val="0"/>
          <w:i w:val="0"/>
          <w:smallCaps w:val="0"/>
          <w:strike w:val="0"/>
          <w:sz w:val="22"/>
          <w:u w:val="single"/>
        </w:rPr>
        <w:t xml:space="preserve"> of exploration capital </w:t>
      </w:r>
      <w:r>
        <w:rPr>
          <w:b w:val="0"/>
          <w:i w:val="0"/>
          <w:smallCaps w:val="0"/>
          <w:strike w:val="0"/>
          <w:sz w:val="22"/>
          <w:highlight w:val="cyan"/>
          <w:u w:val="single"/>
        </w:rPr>
        <w:t>and</w:t>
      </w:r>
      <w:r>
        <w:rPr>
          <w:b w:val="0"/>
          <w:i w:val="0"/>
          <w:smallCaps w:val="0"/>
          <w:strike w:val="0"/>
          <w:sz w:val="22"/>
          <w:u w:val="single"/>
        </w:rPr>
        <w:t xml:space="preserve"> the </w:t>
      </w:r>
      <w:r>
        <w:rPr>
          <w:b w:val="0"/>
          <w:i w:val="0"/>
          <w:smallCaps w:val="0"/>
          <w:strike w:val="0"/>
          <w:sz w:val="22"/>
          <w:highlight w:val="cyan"/>
          <w:u w:val="single"/>
        </w:rPr>
        <w:t>rate of new discoveries</w:t>
      </w:r>
      <w:r>
        <w:rPr>
          <w:b w:val="0"/>
          <w:i w:val="0"/>
          <w:smallCaps w:val="0"/>
          <w:strike w:val="0"/>
          <w:sz w:val="22"/>
          <w:u w:val="single"/>
        </w:rPr>
        <w:t>. Once</w:t>
      </w:r>
      <w:r>
        <w:rPr>
          <w:b w:val="0"/>
          <w:i w:val="0"/>
          <w:smallCaps w:val="0"/>
          <w:strike w:val="0"/>
          <w:sz w:val="16"/>
          <w:u w:val="none"/>
        </w:rPr>
        <w:t xml:space="preserve"> the oil and gas </w:t>
      </w:r>
      <w:r>
        <w:rPr>
          <w:b w:val="0"/>
          <w:i w:val="0"/>
          <w:smallCaps w:val="0"/>
          <w:strike w:val="0"/>
          <w:sz w:val="22"/>
          <w:u w:val="single"/>
        </w:rPr>
        <w:t>companies have adjusted</w:t>
      </w:r>
      <w:r>
        <w:rPr>
          <w:b w:val="0"/>
          <w:i w:val="0"/>
          <w:smallCaps w:val="0"/>
          <w:strike w:val="0"/>
          <w:sz w:val="16"/>
          <w:u w:val="none"/>
        </w:rPr>
        <w:t xml:space="preserve"> to the new policy environment, </w:t>
      </w:r>
      <w:r>
        <w:rPr>
          <w:b w:val="0"/>
          <w:i w:val="0"/>
          <w:smallCaps w:val="0"/>
          <w:strike w:val="0"/>
          <w:sz w:val="22"/>
          <w:u w:val="single"/>
        </w:rPr>
        <w:t>exploration</w:t>
      </w:r>
      <w:r>
        <w:rPr>
          <w:b w:val="0"/>
          <w:i w:val="0"/>
          <w:smallCaps w:val="0"/>
          <w:strike w:val="0"/>
          <w:sz w:val="16"/>
          <w:u w:val="none"/>
        </w:rPr>
        <w:t xml:space="preserve"> investment </w:t>
      </w:r>
      <w:r>
        <w:rPr>
          <w:b w:val="0"/>
          <w:i w:val="0"/>
          <w:smallCaps w:val="0"/>
          <w:strike w:val="0"/>
          <w:sz w:val="22"/>
          <w:u w:val="single"/>
        </w:rPr>
        <w:t>briefly resumes</w:t>
      </w:r>
      <w:r>
        <w:rPr>
          <w:b w:val="0"/>
          <w:i w:val="0"/>
          <w:smallCaps w:val="0"/>
          <w:strike w:val="0"/>
          <w:sz w:val="16"/>
          <w:u w:val="none"/>
        </w:rPr>
        <w:t xml:space="preserve"> to provide new discoveries </w:t>
      </w:r>
      <w:r>
        <w:rPr>
          <w:b w:val="0"/>
          <w:i w:val="0"/>
          <w:smallCaps w:val="0"/>
          <w:strike w:val="0"/>
          <w:sz w:val="22"/>
          <w:u w:val="single"/>
        </w:rPr>
        <w:t>which keep extraction costs at optimally low levels</w:t>
      </w:r>
      <w:r>
        <w:rPr>
          <w:b w:val="0"/>
          <w:i w:val="0"/>
          <w:smallCaps w:val="0"/>
          <w:strike w:val="0"/>
          <w:sz w:val="16"/>
          <w:u w:val="none"/>
        </w:rPr>
        <w:t xml:space="preserve">. This plateauing of discoveries at 4 GtC per year only last a brief period as the carbon budget is nearly used up and, anticipating the end of its business, the oil and gas companies slowly wind down capital and reserves before they finally close shop. A total of 170 GtC and $1.3 trillion of natural and physical assets are abandoned (stranded assets effect 1 and 2). Carbon pricing and its intended consequence of lower cumulative use immediately bite into the scarcity rent on existing reserves (which falls by 22 percent to $192). This drop of $53 per tC is more than compensated by the carbon tax of $180 per tC and demand falls. The </w:t>
      </w:r>
      <w:r>
        <w:rPr>
          <w:b w:val="0"/>
          <w:i w:val="0"/>
          <w:smallCaps w:val="0"/>
          <w:strike w:val="0"/>
          <w:sz w:val="22"/>
          <w:highlight w:val="cyan"/>
          <w:u w:val="single"/>
        </w:rPr>
        <w:t xml:space="preserve">current </w:t>
      </w:r>
      <w:r>
        <w:rPr>
          <w:b/>
          <w:i w:val="0"/>
          <w:smallCaps w:val="0"/>
          <w:strike w:val="0"/>
          <w:sz w:val="22"/>
          <w:highlight w:val="cyan"/>
          <w:u w:val="single"/>
        </w:rPr>
        <w:t>value</w:t>
      </w:r>
      <w:r>
        <w:rPr>
          <w:b w:val="0"/>
          <w:i w:val="0"/>
          <w:smallCaps w:val="0"/>
          <w:strike w:val="0"/>
          <w:sz w:val="22"/>
          <w:highlight w:val="cyan"/>
          <w:u w:val="single"/>
        </w:rPr>
        <w:t xml:space="preserve"> of oil</w:t>
      </w:r>
      <w:r>
        <w:rPr>
          <w:b w:val="0"/>
          <w:i w:val="0"/>
          <w:smallCaps w:val="0"/>
          <w:strike w:val="0"/>
          <w:sz w:val="22"/>
          <w:u w:val="single"/>
        </w:rPr>
        <w:t xml:space="preserve"> and gas </w:t>
      </w:r>
      <w:r>
        <w:rPr>
          <w:b w:val="0"/>
          <w:i w:val="0"/>
          <w:smallCaps w:val="0"/>
          <w:strike w:val="0"/>
          <w:sz w:val="22"/>
          <w:highlight w:val="cyan"/>
          <w:u w:val="single"/>
        </w:rPr>
        <w:t xml:space="preserve">companies </w:t>
      </w:r>
      <w:r>
        <w:rPr>
          <w:b/>
          <w:i w:val="0"/>
          <w:smallCaps w:val="0"/>
          <w:strike w:val="0"/>
          <w:sz w:val="22"/>
          <w:highlight w:val="cyan"/>
          <w:u w:val="single"/>
        </w:rPr>
        <w:t>drops by</w:t>
      </w:r>
      <w:r>
        <w:rPr>
          <w:b w:val="0"/>
          <w:i w:val="0"/>
          <w:smallCaps w:val="0"/>
          <w:strike w:val="0"/>
          <w:sz w:val="22"/>
          <w:highlight w:val="cyan"/>
          <w:u w:val="single"/>
        </w:rPr>
        <w:t xml:space="preserve"> $7 trillion or </w:t>
      </w:r>
      <w:r>
        <w:rPr>
          <w:b/>
          <w:i w:val="0"/>
          <w:smallCaps w:val="0"/>
          <w:strike w:val="0"/>
          <w:sz w:val="22"/>
          <w:highlight w:val="cyan"/>
          <w:u w:val="single"/>
        </w:rPr>
        <w:t>25%</w:t>
      </w:r>
      <w:r>
        <w:rPr>
          <w:b w:val="0"/>
          <w:i w:val="0"/>
          <w:smallCaps w:val="0"/>
          <w:strike w:val="0"/>
          <w:sz w:val="22"/>
          <w:u w:val="single"/>
        </w:rPr>
        <w:t xml:space="preserve"> to $22 trillion</w:t>
      </w:r>
      <w:r>
        <w:rPr>
          <w:b w:val="0"/>
          <w:i w:val="0"/>
          <w:smallCaps w:val="0"/>
          <w:strike w:val="0"/>
          <w:sz w:val="16"/>
          <w:u w:val="none"/>
        </w:rPr>
        <w:t xml:space="preserve"> under the first-best carbon tax (stranded asset effect 3).</w:t>
      </w:r>
    </w:p>
    <w:p>
      <w:pPr>
        <w:pStyle w:val="Caption"/>
      </w:pPr>
      <w:r>
        <w:t>Source: Oil DA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