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Demand will be curbed </w:t>
      </w:r>
      <w:r>
        <w:rPr>
          <w:b/>
          <w:i w:val="0"/>
          <w:smallCaps w:val="0"/>
          <w:strike w:val="0"/>
          <w:sz w:val="24"/>
          <w:u w:val="single"/>
        </w:rPr>
        <w:t>significantly</w:t>
      </w:r>
      <w:r>
        <w:rPr>
          <w:b/>
          <w:i w:val="0"/>
          <w:smallCaps w:val="0"/>
          <w:strike w:val="0"/>
          <w:sz w:val="24"/>
          <w:u w:val="none"/>
        </w:rPr>
        <w:t xml:space="preserve"> below current levels. </w:t>
      </w:r>
    </w:p>
    <w:p>
      <w:pPr>
        <w:spacing w:after="80"/>
      </w:pPr>
      <w:r>
        <w:rPr>
          <w:b w:val="0"/>
          <w:i w:val="0"/>
          <w:smallCaps w:val="0"/>
          <w:strike w:val="0"/>
          <w:sz w:val="16"/>
          <w:u w:val="none"/>
        </w:rPr>
        <w:t xml:space="preserve">Vyatcheslav </w:t>
      </w:r>
      <w:r>
        <w:rPr>
          <w:b/>
          <w:i w:val="0"/>
          <w:smallCaps w:val="0"/>
          <w:strike w:val="0"/>
          <w:sz w:val="22"/>
          <w:u w:val="none"/>
        </w:rPr>
        <w:t>Kulagin 20</w:t>
      </w:r>
      <w:r>
        <w:rPr>
          <w:b w:val="0"/>
          <w:i w:val="0"/>
          <w:smallCaps w:val="0"/>
          <w:strike w:val="0"/>
          <w:sz w:val="16"/>
          <w:u w:val="none"/>
        </w:rPr>
        <w:t>, Energy Research Institute of the Russian Academy of Sciences, Ph.D. Institute for Low Temperature Physics and Engineering; Dmitry Grushevenko; Nikita Kapustin, 2020, "Fossil fuels markets in the ‘energy transition’ era," Russian Journal of Economics, Issue 6, Number 4, https://rujec.org/article/55177/element/8/109073, christian</w:t>
      </w:r>
    </w:p>
    <w:p>
      <w:pPr>
        <w:spacing w:after="60"/>
      </w:pPr>
      <w:r>
        <w:rPr>
          <w:b w:val="0"/>
          <w:i w:val="0"/>
          <w:smallCaps w:val="0"/>
          <w:strike w:val="0"/>
          <w:sz w:val="22"/>
          <w:highlight w:val="cyan"/>
          <w:u w:val="single"/>
        </w:rPr>
        <w:t xml:space="preserve">In the context of </w:t>
      </w:r>
      <w:r>
        <w:rPr>
          <w:b/>
          <w:i w:val="0"/>
          <w:smallCaps w:val="0"/>
          <w:strike w:val="0"/>
          <w:sz w:val="22"/>
          <w:highlight w:val="cyan"/>
          <w:u w:val="single"/>
        </w:rPr>
        <w:t>electric transport spread</w:t>
      </w:r>
      <w:r>
        <w:rPr>
          <w:b w:val="0"/>
          <w:i w:val="0"/>
          <w:smallCaps w:val="0"/>
          <w:strike w:val="0"/>
          <w:sz w:val="16"/>
          <w:u w:val="none"/>
        </w:rPr>
        <w:t xml:space="preserve">, it is of </w:t>
      </w:r>
      <w:r>
        <w:rPr>
          <w:b w:val="0"/>
          <w:i w:val="0"/>
          <w:smallCaps w:val="0"/>
          <w:strike w:val="0"/>
          <w:sz w:val="22"/>
          <w:highlight w:val="cyan"/>
          <w:u w:val="single"/>
        </w:rPr>
        <w:t>great interest to assess</w:t>
      </w:r>
      <w:r>
        <w:rPr>
          <w:b w:val="0"/>
          <w:i w:val="0"/>
          <w:smallCaps w:val="0"/>
          <w:strike w:val="0"/>
          <w:sz w:val="22"/>
          <w:u w:val="single"/>
        </w:rPr>
        <w:t xml:space="preserve"> the </w:t>
      </w:r>
      <w:r>
        <w:rPr>
          <w:b w:val="0"/>
          <w:i w:val="0"/>
          <w:smallCaps w:val="0"/>
          <w:strike w:val="0"/>
          <w:sz w:val="22"/>
          <w:highlight w:val="cyan"/>
          <w:u w:val="single"/>
        </w:rPr>
        <w:t>impact</w:t>
      </w:r>
      <w:r>
        <w:rPr>
          <w:b w:val="0"/>
          <w:i w:val="0"/>
          <w:smallCaps w:val="0"/>
          <w:strike w:val="0"/>
          <w:sz w:val="22"/>
          <w:u w:val="single"/>
        </w:rPr>
        <w:t xml:space="preserve"> of these processes </w:t>
      </w:r>
      <w:r>
        <w:rPr>
          <w:b w:val="0"/>
          <w:i w:val="0"/>
          <w:smallCaps w:val="0"/>
          <w:strike w:val="0"/>
          <w:sz w:val="22"/>
          <w:highlight w:val="cyan"/>
          <w:u w:val="single"/>
        </w:rPr>
        <w:t>on</w:t>
      </w:r>
      <w:r>
        <w:rPr>
          <w:b w:val="0"/>
          <w:i w:val="0"/>
          <w:smallCaps w:val="0"/>
          <w:strike w:val="0"/>
          <w:sz w:val="22"/>
          <w:u w:val="single"/>
        </w:rPr>
        <w:t xml:space="preserve"> </w:t>
      </w:r>
      <w:r>
        <w:rPr>
          <w:b w:val="0"/>
          <w:i w:val="0"/>
          <w:smallCaps w:val="0"/>
          <w:strike w:val="0"/>
          <w:sz w:val="22"/>
          <w:highlight w:val="cyan"/>
          <w:u w:val="single"/>
        </w:rPr>
        <w:t>oil demand</w:t>
      </w:r>
      <w:r>
        <w:rPr>
          <w:b w:val="0"/>
          <w:i w:val="0"/>
          <w:smallCaps w:val="0"/>
          <w:strike w:val="0"/>
          <w:sz w:val="16"/>
          <w:u w:val="none"/>
        </w:rPr>
        <w:t xml:space="preserve">. One should understand that the global need for mobility is constantly increasing. Even with a relatively modest growth rate of 2.8% in global GDP, the growth of the global fleet will require about 1.5 billion tons of additional energy by 2040. Part of this increase (about 0.6 billion toe) can be compensated for by 2040 by increasing the energy efficiency of conventional vehicles (reducing fuel consumption in the global fleet as a whole). Another 0.27 billion toe will be cut by the transition to alternative fuels. This </w:t>
      </w:r>
      <w:r>
        <w:rPr>
          <w:b w:val="0"/>
          <w:i w:val="0"/>
          <w:smallCaps w:val="0"/>
          <w:strike w:val="0"/>
          <w:sz w:val="22"/>
          <w:u w:val="single"/>
        </w:rPr>
        <w:t>roughly corresponds to the development of energy in the framework of “business-as-usual” scenarios while maintaining existing approaches</w:t>
      </w:r>
      <w:r>
        <w:rPr>
          <w:b w:val="0"/>
          <w:i w:val="0"/>
          <w:smallCaps w:val="0"/>
          <w:strike w:val="0"/>
          <w:sz w:val="16"/>
          <w:u w:val="none"/>
        </w:rPr>
        <w:t xml:space="preserve">. However, the tightening of policy in terms of emissions, energy efficiency and support for the transition of transport to alternative fuels can lead to a peak in oil consumption already by 2025–2030 and </w:t>
      </w:r>
      <w:r>
        <w:rPr>
          <w:b w:val="0"/>
          <w:i w:val="0"/>
          <w:smallCaps w:val="0"/>
          <w:strike w:val="0"/>
          <w:sz w:val="22"/>
          <w:highlight w:val="cyan"/>
          <w:u w:val="single"/>
        </w:rPr>
        <w:t>by 2040</w:t>
      </w:r>
      <w:r>
        <w:rPr>
          <w:b w:val="0"/>
          <w:i w:val="0"/>
          <w:smallCaps w:val="0"/>
          <w:strike w:val="0"/>
          <w:sz w:val="22"/>
          <w:u w:val="single"/>
        </w:rPr>
        <w:t xml:space="preserve">, the </w:t>
      </w:r>
      <w:r>
        <w:rPr>
          <w:b w:val="0"/>
          <w:i w:val="0"/>
          <w:smallCaps w:val="0"/>
          <w:strike w:val="0"/>
          <w:sz w:val="22"/>
          <w:highlight w:val="cyan"/>
          <w:u w:val="single"/>
        </w:rPr>
        <w:t xml:space="preserve">demand for </w:t>
      </w:r>
      <w:r>
        <w:rPr>
          <w:b/>
          <w:i w:val="0"/>
          <w:smallCaps w:val="0"/>
          <w:strike w:val="0"/>
          <w:sz w:val="22"/>
          <w:highlight w:val="cyan"/>
          <w:u w:val="single"/>
        </w:rPr>
        <w:t>oil</w:t>
      </w:r>
      <w:r>
        <w:rPr>
          <w:b w:val="0"/>
          <w:i w:val="0"/>
          <w:smallCaps w:val="0"/>
          <w:strike w:val="0"/>
          <w:sz w:val="22"/>
          <w:u w:val="single"/>
        </w:rPr>
        <w:t xml:space="preserve"> can be </w:t>
      </w:r>
      <w:r>
        <w:rPr>
          <w:b/>
          <w:i w:val="0"/>
          <w:smallCaps w:val="0"/>
          <w:strike w:val="0"/>
          <w:sz w:val="22"/>
          <w:highlight w:val="cyan"/>
          <w:u w:val="single"/>
        </w:rPr>
        <w:t>significantly below 2019 levels</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