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Reject pre-COVID consumption predictions, they ignore </w:t>
      </w:r>
      <w:r>
        <w:rPr>
          <w:b/>
          <w:i w:val="0"/>
          <w:smallCaps w:val="0"/>
          <w:strike w:val="0"/>
          <w:sz w:val="24"/>
          <w:u w:val="single"/>
        </w:rPr>
        <w:t>shifting</w:t>
      </w:r>
      <w:r>
        <w:rPr>
          <w:b/>
          <w:i w:val="0"/>
          <w:smallCaps w:val="0"/>
          <w:strike w:val="0"/>
          <w:sz w:val="24"/>
          <w:u w:val="none"/>
        </w:rPr>
        <w:t xml:space="preserve"> investor preferences. </w:t>
      </w:r>
    </w:p>
    <w:p>
      <w:pPr>
        <w:spacing w:after="80"/>
      </w:pPr>
      <w:r>
        <w:rPr>
          <w:b w:val="0"/>
          <w:i w:val="0"/>
          <w:smallCaps w:val="0"/>
          <w:strike w:val="0"/>
          <w:sz w:val="16"/>
          <w:u w:val="none"/>
        </w:rPr>
        <w:t xml:space="preserve">Vyatcheslav </w:t>
      </w:r>
      <w:r>
        <w:rPr>
          <w:b/>
          <w:i w:val="0"/>
          <w:smallCaps w:val="0"/>
          <w:strike w:val="0"/>
          <w:sz w:val="22"/>
          <w:u w:val="none"/>
        </w:rPr>
        <w:t>Kulagin 20</w:t>
      </w:r>
      <w:r>
        <w:rPr>
          <w:b w:val="0"/>
          <w:i w:val="0"/>
          <w:smallCaps w:val="0"/>
          <w:strike w:val="0"/>
          <w:sz w:val="16"/>
          <w:u w:val="none"/>
        </w:rPr>
        <w:t>, Energy Research Institute of the Russian Academy of Sciences, Ph.D. Institute for Low Temperature Physics and Engineering; Dmitry Grushevenko; Nikita Kapustin, 2020, "Fossil fuels markets in the ‘energy transition’ era," Russian Journal of Economics, Issue 6, Number 4, https://rujec.org/article/55177/element/8/109073, christian</w:t>
      </w:r>
    </w:p>
    <w:p>
      <w:pPr>
        <w:spacing w:after="60"/>
      </w:pPr>
      <w:r>
        <w:rPr>
          <w:b w:val="0"/>
          <w:i w:val="0"/>
          <w:smallCaps w:val="0"/>
          <w:strike w:val="0"/>
          <w:sz w:val="16"/>
          <w:u w:val="none"/>
        </w:rPr>
        <w:t xml:space="preserve">The situation in 2020 by itself does not represent a radical overturn in the oil and gas market, but it signifies major adjustments of the market landscape in the coming years. The key factor is the excess supply of oil and gas against the background of reduced demand in the presence of commissioned but idling production capacity. This situation generates significant risks of price volatility and necessitates the need for stabilization mechanisms. In such conditions, the </w:t>
      </w:r>
      <w:r>
        <w:rPr>
          <w:b w:val="0"/>
          <w:i w:val="0"/>
          <w:smallCaps w:val="0"/>
          <w:strike w:val="0"/>
          <w:sz w:val="22"/>
          <w:highlight w:val="cyan"/>
          <w:u w:val="single"/>
        </w:rPr>
        <w:t>preferences of investors are changing, as they become increasingly wary of investing in</w:t>
      </w:r>
      <w:r>
        <w:rPr>
          <w:b w:val="0"/>
          <w:i w:val="0"/>
          <w:smallCaps w:val="0"/>
          <w:strike w:val="0"/>
          <w:sz w:val="22"/>
          <w:u w:val="single"/>
        </w:rPr>
        <w:t xml:space="preserve"> conventional </w:t>
      </w:r>
      <w:r>
        <w:rPr>
          <w:b w:val="0"/>
          <w:i w:val="0"/>
          <w:smallCaps w:val="0"/>
          <w:strike w:val="0"/>
          <w:sz w:val="22"/>
          <w:highlight w:val="cyan"/>
          <w:u w:val="single"/>
        </w:rPr>
        <w:t>oil</w:t>
      </w:r>
      <w:r>
        <w:rPr>
          <w:b w:val="0"/>
          <w:i w:val="0"/>
          <w:smallCaps w:val="0"/>
          <w:strike w:val="0"/>
          <w:sz w:val="22"/>
          <w:u w:val="single"/>
        </w:rPr>
        <w:t xml:space="preserve"> and gas </w:t>
      </w:r>
      <w:r>
        <w:rPr>
          <w:b w:val="0"/>
          <w:i w:val="0"/>
          <w:smallCaps w:val="0"/>
          <w:strike w:val="0"/>
          <w:sz w:val="22"/>
          <w:highlight w:val="cyan"/>
          <w:u w:val="single"/>
        </w:rPr>
        <w:t>projects</w:t>
      </w:r>
      <w:r>
        <w:rPr>
          <w:b w:val="0"/>
          <w:i w:val="0"/>
          <w:smallCaps w:val="0"/>
          <w:strike w:val="0"/>
          <w:sz w:val="22"/>
          <w:u w:val="single"/>
        </w:rPr>
        <w:t xml:space="preserve"> with long payback periods</w:t>
      </w:r>
      <w:r>
        <w:rPr>
          <w:b w:val="0"/>
          <w:i w:val="0"/>
          <w:smallCaps w:val="0"/>
          <w:strike w:val="0"/>
          <w:sz w:val="16"/>
          <w:u w:val="none"/>
        </w:rPr>
        <w:t xml:space="preserve">. In the global paradigm of the oil and gas market, this </w:t>
      </w:r>
      <w:r>
        <w:rPr>
          <w:b w:val="0"/>
          <w:i w:val="0"/>
          <w:smallCaps w:val="0"/>
          <w:strike w:val="0"/>
          <w:sz w:val="22"/>
          <w:highlight w:val="cyan"/>
          <w:u w:val="single"/>
        </w:rPr>
        <w:t>means</w:t>
      </w:r>
      <w:r>
        <w:rPr>
          <w:b w:val="0"/>
          <w:i w:val="0"/>
          <w:smallCaps w:val="0"/>
          <w:strike w:val="0"/>
          <w:sz w:val="16"/>
          <w:u w:val="none"/>
        </w:rPr>
        <w:t xml:space="preserve"> that </w:t>
      </w:r>
      <w:r>
        <w:rPr>
          <w:b w:val="0"/>
          <w:i w:val="0"/>
          <w:smallCaps w:val="0"/>
          <w:strike w:val="0"/>
          <w:sz w:val="22"/>
          <w:u w:val="single"/>
        </w:rPr>
        <w:t xml:space="preserve">historical </w:t>
      </w:r>
      <w:r>
        <w:rPr>
          <w:b/>
          <w:i w:val="0"/>
          <w:smallCaps w:val="0"/>
          <w:strike w:val="0"/>
          <w:sz w:val="22"/>
          <w:highlight w:val="cyan"/>
          <w:u w:val="single"/>
        </w:rPr>
        <w:t>consumption peaks</w:t>
      </w:r>
      <w:r>
        <w:rPr>
          <w:b w:val="0"/>
          <w:i w:val="0"/>
          <w:smallCaps w:val="0"/>
          <w:strike w:val="0"/>
          <w:sz w:val="22"/>
          <w:highlight w:val="cyan"/>
          <w:u w:val="single"/>
        </w:rPr>
        <w:t xml:space="preserve"> will occur</w:t>
      </w:r>
      <w:r>
        <w:rPr>
          <w:b w:val="0"/>
          <w:i w:val="0"/>
          <w:smallCaps w:val="0"/>
          <w:strike w:val="0"/>
          <w:sz w:val="22"/>
          <w:u w:val="single"/>
        </w:rPr>
        <w:t xml:space="preserve"> at </w:t>
      </w:r>
      <w:r>
        <w:rPr>
          <w:b w:val="0"/>
          <w:i w:val="0"/>
          <w:smallCaps w:val="0"/>
          <w:strike w:val="0"/>
          <w:sz w:val="22"/>
          <w:highlight w:val="cyan"/>
          <w:u w:val="single"/>
        </w:rPr>
        <w:t>lower</w:t>
      </w:r>
      <w:r>
        <w:rPr>
          <w:b w:val="0"/>
          <w:i w:val="0"/>
          <w:smallCaps w:val="0"/>
          <w:strike w:val="0"/>
          <w:sz w:val="22"/>
          <w:u w:val="single"/>
        </w:rPr>
        <w:t xml:space="preserve"> levels </w:t>
      </w:r>
      <w:r>
        <w:rPr>
          <w:b w:val="0"/>
          <w:i w:val="0"/>
          <w:smallCaps w:val="0"/>
          <w:strike w:val="0"/>
          <w:sz w:val="22"/>
          <w:highlight w:val="cyan"/>
          <w:u w:val="single"/>
        </w:rPr>
        <w:t>than predicted before</w:t>
      </w:r>
      <w:r>
        <w:rPr>
          <w:b w:val="0"/>
          <w:i w:val="0"/>
          <w:smallCaps w:val="0"/>
          <w:strike w:val="0"/>
          <w:sz w:val="22"/>
          <w:u w:val="single"/>
        </w:rPr>
        <w:t xml:space="preserve"> the </w:t>
      </w:r>
      <w:r>
        <w:rPr>
          <w:b/>
          <w:i w:val="0"/>
          <w:smallCaps w:val="0"/>
          <w:strike w:val="0"/>
          <w:sz w:val="22"/>
          <w:highlight w:val="cyan"/>
          <w:u w:val="single"/>
        </w:rPr>
        <w:t>COVID</w:t>
      </w:r>
      <w:r>
        <w:rPr>
          <w:b/>
          <w:i w:val="0"/>
          <w:smallCaps w:val="0"/>
          <w:strike w:val="0"/>
          <w:sz w:val="22"/>
          <w:u w:val="single"/>
        </w:rPr>
        <w:t>-19 pandemic</w:t>
      </w:r>
      <w:r>
        <w:rPr>
          <w:b w:val="0"/>
          <w:i w:val="0"/>
          <w:smallCaps w:val="0"/>
          <w:strike w:val="0"/>
          <w:sz w:val="16"/>
          <w:u w:val="none"/>
        </w:rPr>
        <w:t>.</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