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4"/>
          <w:u w:val="none"/>
        </w:rPr>
        <w:t xml:space="preserve">Oil demand will peak by 2025---the AFF’s </w:t>
      </w:r>
      <w:r>
        <w:rPr>
          <w:b/>
          <w:i w:val="0"/>
          <w:smallCaps w:val="0"/>
          <w:strike w:val="0"/>
          <w:sz w:val="24"/>
          <w:u w:val="single"/>
        </w:rPr>
        <w:t>inconsequential</w:t>
      </w:r>
      <w:r>
        <w:rPr>
          <w:b/>
          <w:i w:val="0"/>
          <w:smallCaps w:val="0"/>
          <w:strike w:val="0"/>
          <w:sz w:val="24"/>
          <w:u w:val="none"/>
        </w:rPr>
        <w:t>.</w:t>
      </w:r>
    </w:p>
    <w:p>
      <w:pPr>
        <w:spacing w:after="80"/>
      </w:pPr>
      <w:r>
        <w:rPr>
          <w:b w:val="0"/>
          <w:i w:val="0"/>
          <w:smallCaps w:val="0"/>
          <w:strike w:val="0"/>
          <w:sz w:val="16"/>
          <w:u w:val="none"/>
        </w:rPr>
        <w:t xml:space="preserve">Sophie </w:t>
      </w:r>
      <w:r>
        <w:rPr>
          <w:b/>
          <w:i w:val="0"/>
          <w:smallCaps w:val="0"/>
          <w:strike w:val="0"/>
          <w:sz w:val="22"/>
          <w:u w:val="none"/>
        </w:rPr>
        <w:t>Mellor 21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writer for Fortune, 10/13/2021, “Good news: Oil demand to peak by 2025. Bad news: renewables are vastly underfunded,” </w:t>
      </w:r>
      <w:r>
        <w:rPr>
          <w:b w:val="0"/>
          <w:i w:val="0"/>
          <w:smallCaps w:val="0"/>
          <w:strike w:val="0"/>
          <w:sz w:val="16"/>
          <w:u w:val="none"/>
        </w:rPr>
        <w:t>, vivi!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Oil demand will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peak in 2025</w:t>
      </w:r>
      <w:r>
        <w:rPr>
          <w:b w:val="0"/>
          <w:i w:val="0"/>
          <w:smallCaps w:val="0"/>
          <w:strike w:val="0"/>
          <w:sz w:val="14"/>
          <w:u w:val="none"/>
        </w:rPr>
        <w:t xml:space="preserve">, years </w:t>
      </w:r>
      <w:r>
        <w:rPr>
          <w:b w:val="0"/>
          <w:i w:val="0"/>
          <w:smallCaps w:val="0"/>
          <w:strike w:val="0"/>
          <w:sz w:val="22"/>
          <w:u w:val="single"/>
        </w:rPr>
        <w:t>earlier than previously expected</w:t>
      </w:r>
      <w:r>
        <w:rPr>
          <w:b w:val="0"/>
          <w:i w:val="0"/>
          <w:smallCaps w:val="0"/>
          <w:strike w:val="0"/>
          <w:sz w:val="14"/>
          <w:u w:val="none"/>
        </w:rPr>
        <w:t>, the International Energy Agency said in its World Energy Outlook on Tuesday</w:t>
      </w:r>
      <w:r>
        <w:rPr>
          <w:b w:val="0"/>
          <w:i w:val="0"/>
          <w:smallCaps w:val="0"/>
          <w:strike w:val="0"/>
          <w:sz w:val="14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14"/>
          <w:u w:val="none"/>
        </w:rPr>
        <w:t xml:space="preserve">But while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transition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away from oil is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arriving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sooner than expected</w:t>
      </w:r>
      <w:r>
        <w:rPr>
          <w:b w:val="0"/>
          <w:i w:val="0"/>
          <w:smallCaps w:val="0"/>
          <w:strike w:val="0"/>
          <w:sz w:val="14"/>
          <w:u w:val="none"/>
        </w:rPr>
        <w:t>, IEA executive director Fatih Birol warned that this year will see the second-largest annual increase in CO2 emissions in history, leading to an “unsustainable economic recovery” from COVID-19.</w:t>
      </w:r>
    </w:p>
    <w:p>
      <w:pPr>
        <w:spacing w:after="60"/>
      </w:pPr>
      <w:r>
        <w:rPr>
          <w:b w:val="0"/>
          <w:i w:val="0"/>
          <w:smallCaps w:val="0"/>
          <w:strike w:val="0"/>
          <w:sz w:val="14"/>
          <w:u w:val="none"/>
        </w:rPr>
        <w:t xml:space="preserve">The IEA's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call of peak oil comes as fossil fuel prices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spike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across the globe</w:t>
      </w:r>
      <w:r>
        <w:rPr>
          <w:b w:val="0"/>
          <w:i w:val="0"/>
          <w:smallCaps w:val="0"/>
          <w:strike w:val="0"/>
          <w:sz w:val="14"/>
          <w:u w:val="none"/>
        </w:rPr>
        <w:t xml:space="preserve">. A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surge in demand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caused by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economies leaving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COVID</w:t>
      </w:r>
      <w:r>
        <w:rPr>
          <w:b w:val="0"/>
          <w:i w:val="0"/>
          <w:smallCaps w:val="0"/>
          <w:strike w:val="0"/>
          <w:sz w:val="14"/>
          <w:u w:val="none"/>
        </w:rPr>
        <w:t xml:space="preserve">-19 </w:t>
      </w:r>
      <w:r>
        <w:rPr>
          <w:b/>
          <w:i w:val="0"/>
          <w:smallCaps w:val="0"/>
          <w:strike w:val="0"/>
          <w:sz w:val="22"/>
          <w:u w:val="single"/>
        </w:rPr>
        <w:t>lockdowns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has </w:t>
      </w:r>
      <w:r>
        <w:rPr>
          <w:b w:val="0"/>
          <w:i w:val="0"/>
          <w:smallCaps w:val="0"/>
          <w:strike w:val="0"/>
          <w:sz w:val="22"/>
          <w:u w:val="single"/>
        </w:rPr>
        <w:t>coincided with sluggish supply resulting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from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kinked supply chains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and low investment in oil and gas production</w:t>
      </w:r>
      <w:r>
        <w:rPr>
          <w:b w:val="0"/>
          <w:i w:val="0"/>
          <w:smallCaps w:val="0"/>
          <w:strike w:val="0"/>
          <w:sz w:val="14"/>
          <w:u w:val="none"/>
        </w:rPr>
        <w:t>—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effects of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nations’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green pledges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and a price crash in recent years. At more than $80 a barrel, oil is near a seven-year high, and gas prices in the U.S. have tripled in the past 18 months.</w:t>
      </w:r>
    </w:p>
    <w:p>
      <w:pPr>
        <w:pStyle w:val="Caption"/>
      </w:pPr>
      <w:r>
        <w:t>Source: Oil DA - Michigan 2024 BFHR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