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Uncooperative federalism is </w:t>
      </w:r>
      <w:r>
        <w:rPr>
          <w:b/>
          <w:i w:val="0"/>
          <w:smallCaps w:val="0"/>
          <w:strike w:val="0"/>
          <w:sz w:val="26"/>
          <w:u w:val="single"/>
        </w:rPr>
        <w:t>high now</w:t>
      </w:r>
      <w:r>
        <w:rPr>
          <w:b/>
          <w:i w:val="0"/>
          <w:smallCaps w:val="0"/>
          <w:strike w:val="0"/>
          <w:sz w:val="26"/>
          <w:u w:val="none"/>
        </w:rPr>
        <w:t xml:space="preserve"> and </w:t>
      </w:r>
      <w:r>
        <w:rPr>
          <w:b/>
          <w:i w:val="0"/>
          <w:smallCaps w:val="0"/>
          <w:strike w:val="0"/>
          <w:sz w:val="26"/>
          <w:u w:val="single"/>
        </w:rPr>
        <w:t>fails</w:t>
      </w:r>
      <w:r>
        <w:rPr>
          <w:b/>
          <w:i w:val="0"/>
          <w:smallCaps w:val="0"/>
          <w:strike w:val="0"/>
          <w:sz w:val="26"/>
          <w:u w:val="none"/>
        </w:rPr>
        <w:t xml:space="preserve">---the CP empowers </w:t>
      </w:r>
      <w:r>
        <w:rPr>
          <w:b/>
          <w:i w:val="0"/>
          <w:smallCaps w:val="0"/>
          <w:strike w:val="0"/>
          <w:sz w:val="26"/>
          <w:u w:val="none"/>
        </w:rPr>
        <w:t xml:space="preserve">RWEs </w:t>
      </w:r>
      <w:r>
        <w:rPr>
          <w:b w:val="0"/>
          <w:i w:val="0"/>
          <w:smallCaps w:val="0"/>
          <w:strike w:val="0"/>
          <w:sz w:val="26"/>
          <w:u w:val="none"/>
        </w:rPr>
        <w:t>(Right Wing Extremists)</w:t>
      </w:r>
      <w:r>
        <w:rPr>
          <w:b/>
          <w:i w:val="0"/>
          <w:smallCaps w:val="0"/>
          <w:strike w:val="0"/>
          <w:sz w:val="26"/>
          <w:u w:val="none"/>
        </w:rPr>
        <w:t xml:space="preserve">. </w:t>
      </w:r>
    </w:p>
    <w:p>
      <w:pPr>
        <w:spacing w:after="80"/>
      </w:pPr>
      <w:r>
        <w:rPr>
          <w:b w:val="0"/>
          <w:i w:val="0"/>
          <w:smallCaps w:val="0"/>
          <w:strike w:val="0"/>
          <w:u w:val="none"/>
        </w:rPr>
        <w:t xml:space="preserve">Emily M. </w:t>
      </w:r>
      <w:r>
        <w:rPr>
          <w:b/>
          <w:i w:val="0"/>
          <w:smallCaps w:val="0"/>
          <w:strike w:val="0"/>
          <w:sz w:val="26"/>
          <w:u w:val="none"/>
        </w:rPr>
        <w:t>Farris</w:t>
      </w:r>
      <w:r>
        <w:rPr>
          <w:b w:val="0"/>
          <w:i w:val="0"/>
          <w:smallCaps w:val="0"/>
          <w:strike w:val="0"/>
          <w:u w:val="none"/>
        </w:rPr>
        <w:t xml:space="preserve">* </w:t>
      </w:r>
      <w:r>
        <w:rPr>
          <w:b/>
          <w:i w:val="0"/>
          <w:smallCaps w:val="0"/>
          <w:strike w:val="0"/>
          <w:sz w:val="26"/>
          <w:u w:val="none"/>
        </w:rPr>
        <w:t>&amp;</w:t>
      </w:r>
      <w:r>
        <w:rPr>
          <w:b w:val="0"/>
          <w:i w:val="0"/>
          <w:smallCaps w:val="0"/>
          <w:strike w:val="0"/>
          <w:u w:val="none"/>
        </w:rPr>
        <w:t xml:space="preserve"> </w:t>
      </w:r>
      <w:r>
        <w:rPr>
          <w:b w:val="0"/>
          <w:i w:val="0"/>
          <w:smallCaps w:val="0"/>
          <w:strike w:val="0"/>
          <w:u w:val="none"/>
        </w:rPr>
        <w:t>Mirya</w:t>
      </w:r>
      <w:r>
        <w:rPr>
          <w:b w:val="0"/>
          <w:i w:val="0"/>
          <w:smallCaps w:val="0"/>
          <w:strike w:val="0"/>
          <w:u w:val="none"/>
        </w:rPr>
        <w:t xml:space="preserve"> R. </w:t>
      </w:r>
      <w:r>
        <w:rPr>
          <w:b/>
          <w:i w:val="0"/>
          <w:smallCaps w:val="0"/>
          <w:strike w:val="0"/>
          <w:sz w:val="26"/>
          <w:u w:val="none"/>
        </w:rPr>
        <w:t>Holman</w:t>
      </w:r>
      <w:r>
        <w:rPr>
          <w:b w:val="0"/>
          <w:i w:val="0"/>
          <w:smallCaps w:val="0"/>
          <w:strike w:val="0"/>
          <w:u w:val="none"/>
        </w:rPr>
        <w:t>**</w:t>
      </w:r>
      <w:r>
        <w:rPr>
          <w:b w:val="0"/>
          <w:i w:val="0"/>
          <w:smallCaps w:val="0"/>
          <w:strike w:val="0"/>
          <w:u w:val="none"/>
        </w:rPr>
        <w:t xml:space="preserve">., 23, </w:t>
      </w:r>
      <w:r>
        <w:rPr>
          <w:b w:val="0"/>
          <w:i w:val="0"/>
          <w:smallCaps w:val="0"/>
          <w:strike w:val="0"/>
          <w:u w:val="none"/>
        </w:rPr>
        <w:t xml:space="preserve">*Professor of Political Science @ </w:t>
      </w:r>
      <w:r>
        <w:rPr>
          <w:b w:val="0"/>
          <w:i w:val="0"/>
          <w:smallCaps w:val="0"/>
          <w:strike w:val="0"/>
          <w:u w:val="none"/>
        </w:rPr>
        <w:t>Texas Christian University</w:t>
      </w:r>
      <w:r>
        <w:rPr>
          <w:b w:val="0"/>
          <w:i w:val="0"/>
          <w:smallCaps w:val="0"/>
          <w:strike w:val="0"/>
          <w:u w:val="none"/>
        </w:rPr>
        <w:t>, Ph.D. in Political Science @ Brown University. **</w:t>
      </w:r>
      <w:r>
        <w:rPr>
          <w:b w:val="0"/>
          <w:i w:val="0"/>
          <w:smallCaps w:val="0"/>
          <w:strike w:val="0"/>
          <w:u w:val="none"/>
        </w:rPr>
        <w:t>Professor</w:t>
      </w:r>
      <w:r>
        <w:rPr>
          <w:b w:val="0"/>
          <w:i w:val="0"/>
          <w:smallCaps w:val="0"/>
          <w:strike w:val="0"/>
          <w:u w:val="none"/>
        </w:rPr>
        <w:t xml:space="preserve"> of Public Affairs @</w:t>
      </w:r>
      <w:r>
        <w:rPr>
          <w:b w:val="0"/>
          <w:i w:val="0"/>
          <w:smallCaps w:val="0"/>
          <w:strike w:val="0"/>
          <w:u w:val="none"/>
        </w:rPr>
        <w:t xml:space="preserve"> University of </w:t>
      </w:r>
      <w:r>
        <w:rPr>
          <w:b w:val="0"/>
          <w:i w:val="0"/>
          <w:smallCaps w:val="0"/>
          <w:strike w:val="0"/>
          <w:u w:val="none"/>
        </w:rPr>
        <w:t>Houston</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"Sheriffs, right‐wing extremism, and the limits of U.S. federalism during a crisis", Wiley Online Library, 2-22-2023, https://onlinelibrary.wiley.com/doi/full/10.1111/ssqu.13244. Accessed 7-25-2024 by NT-JJ.</w:t>
      </w:r>
      <w:r>
        <w:rPr>
          <w:b w:val="0"/>
          <w:i w:val="0"/>
          <w:smallCaps w:val="0"/>
          <w:strike w:val="0"/>
          <w:u w:val="none"/>
        </w:rPr>
        <w:t xml:space="preserve"> </w:t>
      </w:r>
      <w:r>
        <w:rPr>
          <w:b/>
          <w:i w:val="0"/>
          <w:smallCaps w:val="0"/>
          <w:strike w:val="0"/>
          <w:u w:val="none"/>
        </w:rPr>
        <w:t>RWE = Right Wing Extremist</w:t>
      </w:r>
    </w:p>
    <w:p>
      <w:pPr>
        <w:spacing w:after="60"/>
      </w:pPr>
      <w:r>
        <w:rPr>
          <w:b w:val="0"/>
          <w:i w:val="0"/>
          <w:smallCaps w:val="0"/>
          <w:strike w:val="0"/>
          <w:sz w:val="22"/>
          <w:highlight w:val="green"/>
          <w:u w:val="single"/>
        </w:rPr>
        <w:t>RWE attitudes among sheriffs</w:t>
      </w:r>
      <w:r>
        <w:rPr>
          <w:b w:val="0"/>
          <w:i w:val="0"/>
          <w:smallCaps w:val="0"/>
          <w:strike w:val="0"/>
          <w:sz w:val="22"/>
          <w:u w:val="single"/>
        </w:rPr>
        <w:t xml:space="preserve"> represent a </w:t>
      </w:r>
      <w:r>
        <w:rPr>
          <w:b/>
          <w:i w:val="0"/>
          <w:smallCaps w:val="0"/>
          <w:strike w:val="0"/>
          <w:sz w:val="22"/>
          <w:highlight w:val="green"/>
          <w:u w:val="single"/>
        </w:rPr>
        <w:t>core threat</w:t>
      </w:r>
      <w:r>
        <w:rPr>
          <w:b/>
          <w:i w:val="0"/>
          <w:smallCaps w:val="0"/>
          <w:strike w:val="0"/>
          <w:sz w:val="22"/>
          <w:highlight w:val="green"/>
          <w:u w:val="single"/>
        </w:rPr>
        <w:t xml:space="preserve"> to</w:t>
      </w:r>
      <w:r>
        <w:rPr>
          <w:b/>
          <w:i w:val="0"/>
          <w:smallCaps w:val="0"/>
          <w:strike w:val="0"/>
          <w:sz w:val="22"/>
          <w:u w:val="single"/>
        </w:rPr>
        <w:t xml:space="preserve"> the functioning of </w:t>
      </w:r>
      <w:r>
        <w:rPr>
          <w:b/>
          <w:i w:val="0"/>
          <w:smallCaps w:val="0"/>
          <w:strike w:val="0"/>
          <w:sz w:val="22"/>
          <w:highlight w:val="green"/>
          <w:u w:val="single"/>
        </w:rPr>
        <w:t>federalism</w:t>
      </w:r>
      <w:r>
        <w:rPr>
          <w:b/>
          <w:i w:val="0"/>
          <w:smallCaps w:val="0"/>
          <w:strike w:val="0"/>
          <w:sz w:val="22"/>
          <w:u w:val="single"/>
        </w:rPr>
        <w:t xml:space="preserve"> </w:t>
      </w:r>
      <w:r>
        <w:rPr>
          <w:b w:val="0"/>
          <w:i w:val="0"/>
          <w:smallCaps w:val="0"/>
          <w:strike w:val="0"/>
          <w:sz w:val="22"/>
          <w:u w:val="single"/>
        </w:rPr>
        <w:t>in the United States</w:t>
      </w:r>
      <w:r>
        <w:rPr>
          <w:b w:val="0"/>
          <w:i w:val="0"/>
          <w:smallCaps w:val="0"/>
          <w:strike w:val="0"/>
          <w:u w:val="none"/>
        </w:rPr>
        <w:t xml:space="preserve">, particularly during a time of crisis and tension. RWE primes sheriffs’ resistance by ordaining the office as the ultimate authority under the Constitution. </w:t>
      </w:r>
      <w:r>
        <w:rPr>
          <w:b/>
          <w:i w:val="0"/>
          <w:smallCaps w:val="0"/>
          <w:strike w:val="0"/>
          <w:sz w:val="22"/>
          <w:highlight w:val="green"/>
          <w:u w:val="single"/>
        </w:rPr>
        <w:t>Federalism relies on</w:t>
      </w:r>
      <w:r>
        <w:rPr>
          <w:b/>
          <w:i w:val="0"/>
          <w:smallCaps w:val="0"/>
          <w:strike w:val="0"/>
          <w:sz w:val="22"/>
          <w:u w:val="single"/>
        </w:rPr>
        <w:t xml:space="preserve"> the </w:t>
      </w:r>
      <w:r>
        <w:rPr>
          <w:b/>
          <w:i w:val="0"/>
          <w:smallCaps w:val="0"/>
          <w:strike w:val="0"/>
          <w:sz w:val="22"/>
          <w:highlight w:val="green"/>
          <w:u w:val="single"/>
        </w:rPr>
        <w:t>cooperation</w:t>
      </w:r>
      <w:r>
        <w:rPr>
          <w:b w:val="0"/>
          <w:i w:val="0"/>
          <w:smallCaps w:val="0"/>
          <w:strike w:val="0"/>
          <w:sz w:val="22"/>
          <w:u w:val="single"/>
        </w:rPr>
        <w:t xml:space="preserve"> of units of government. </w:t>
      </w:r>
      <w:r>
        <w:rPr>
          <w:b w:val="0"/>
          <w:i w:val="0"/>
          <w:smallCaps w:val="0"/>
          <w:strike w:val="0"/>
          <w:u w:val="none"/>
        </w:rPr>
        <w:t xml:space="preserve">The </w:t>
      </w:r>
      <w:r>
        <w:rPr>
          <w:b w:val="0"/>
          <w:i w:val="0"/>
          <w:smallCaps w:val="0"/>
          <w:strike w:val="0"/>
          <w:sz w:val="22"/>
          <w:highlight w:val="green"/>
          <w:u w:val="single"/>
        </w:rPr>
        <w:t>COVID</w:t>
      </w:r>
      <w:r>
        <w:rPr>
          <w:b w:val="0"/>
          <w:i w:val="0"/>
          <w:smallCaps w:val="0"/>
          <w:strike w:val="0"/>
          <w:u w:val="none"/>
        </w:rPr>
        <w:t xml:space="preserve">-19 crisis </w:t>
      </w:r>
      <w:r>
        <w:rPr>
          <w:b w:val="0"/>
          <w:i w:val="0"/>
          <w:smallCaps w:val="0"/>
          <w:strike w:val="0"/>
          <w:sz w:val="22"/>
          <w:highlight w:val="green"/>
          <w:u w:val="single"/>
        </w:rPr>
        <w:t xml:space="preserve">revealed the </w:t>
      </w:r>
      <w:r>
        <w:rPr>
          <w:b/>
          <w:i w:val="0"/>
          <w:smallCaps w:val="0"/>
          <w:strike w:val="0"/>
          <w:sz w:val="22"/>
          <w:highlight w:val="green"/>
          <w:u w:val="single"/>
        </w:rPr>
        <w:t>extent</w:t>
      </w:r>
      <w:r>
        <w:rPr>
          <w:b w:val="0"/>
          <w:i w:val="0"/>
          <w:smallCaps w:val="0"/>
          <w:strike w:val="0"/>
          <w:sz w:val="22"/>
          <w:u w:val="single"/>
        </w:rPr>
        <w:t xml:space="preserve"> of </w:t>
      </w:r>
      <w:r>
        <w:rPr>
          <w:b w:val="0"/>
          <w:i w:val="0"/>
          <w:smallCaps w:val="0"/>
          <w:strike w:val="0"/>
          <w:sz w:val="22"/>
          <w:highlight w:val="green"/>
          <w:u w:val="single"/>
        </w:rPr>
        <w:t xml:space="preserve">the </w:t>
      </w:r>
      <w:r>
        <w:rPr>
          <w:b/>
          <w:i w:val="0"/>
          <w:smallCaps w:val="0"/>
          <w:strike w:val="0"/>
          <w:sz w:val="22"/>
          <w:highlight w:val="green"/>
          <w:u w:val="single"/>
        </w:rPr>
        <w:t>dysfunction</w:t>
      </w:r>
      <w:r>
        <w:rPr>
          <w:b/>
          <w:i w:val="0"/>
          <w:smallCaps w:val="0"/>
          <w:strike w:val="0"/>
          <w:sz w:val="22"/>
          <w:highlight w:val="green"/>
          <w:u w:val="single"/>
        </w:rPr>
        <w:t xml:space="preserve"> of uncooperative federalism</w:t>
      </w:r>
      <w:r>
        <w:rPr>
          <w:b w:val="0"/>
          <w:i w:val="0"/>
          <w:smallCaps w:val="0"/>
          <w:strike w:val="0"/>
          <w:u w:val="none"/>
        </w:rPr>
        <w:t xml:space="preserve"> (Bulman-</w:t>
      </w:r>
      <w:r>
        <w:rPr>
          <w:b w:val="0"/>
          <w:i w:val="0"/>
          <w:smallCaps w:val="0"/>
          <w:strike w:val="0"/>
          <w:u w:val="none"/>
        </w:rPr>
        <w:t>Pozen</w:t>
      </w:r>
      <w:r>
        <w:rPr>
          <w:b w:val="0"/>
          <w:i w:val="0"/>
          <w:smallCaps w:val="0"/>
          <w:strike w:val="0"/>
          <w:u w:val="none"/>
        </w:rPr>
        <w:t xml:space="preserve"> and </w:t>
      </w:r>
      <w:r>
        <w:rPr>
          <w:b w:val="0"/>
          <w:i w:val="0"/>
          <w:smallCaps w:val="0"/>
          <w:strike w:val="0"/>
          <w:u w:val="none"/>
        </w:rPr>
        <w:t>Gerken</w:t>
      </w:r>
      <w:r>
        <w:rPr>
          <w:b w:val="0"/>
          <w:i w:val="0"/>
          <w:smallCaps w:val="0"/>
          <w:strike w:val="0"/>
          <w:u w:val="none"/>
        </w:rPr>
        <w:t xml:space="preserve"> 2008). During COVID-19, </w:t>
      </w:r>
      <w:r>
        <w:rPr>
          <w:b w:val="0"/>
          <w:i w:val="0"/>
          <w:smallCaps w:val="0"/>
          <w:strike w:val="0"/>
          <w:sz w:val="22"/>
          <w:highlight w:val="green"/>
          <w:u w:val="single"/>
        </w:rPr>
        <w:t xml:space="preserve">sheriffs turned uncooperative federalism into a </w:t>
      </w:r>
      <w:r>
        <w:rPr>
          <w:b/>
          <w:i w:val="0"/>
          <w:smallCaps w:val="0"/>
          <w:strike w:val="0"/>
          <w:sz w:val="22"/>
          <w:highlight w:val="green"/>
          <w:u w:val="single"/>
        </w:rPr>
        <w:t>highly contentious relationship</w:t>
      </w:r>
      <w:r>
        <w:rPr>
          <w:b w:val="0"/>
          <w:i w:val="0"/>
          <w:smallCaps w:val="0"/>
          <w:strike w:val="0"/>
          <w:sz w:val="22"/>
          <w:u w:val="single"/>
        </w:rPr>
        <w:t xml:space="preserve"> </w:t>
      </w:r>
      <w:r>
        <w:rPr>
          <w:b w:val="0"/>
          <w:i w:val="0"/>
          <w:smallCaps w:val="0"/>
          <w:strike w:val="0"/>
          <w:u w:val="none"/>
        </w:rPr>
        <w:t>in county-level politics. Following the course of radicalization among sheriffs over the last half-century, we document current RWE attitudes and demonstrate a robust relationship between RWE and sheriffs’ unwillingness to enforce mandates. We find consistent evidence that sheriffs’ RWE is associated with the sheriff reporting that they refused to enforce mask mandates, even controlling for the political characteristics of the county and the sheriff. Future research might consider the ways that electoral pressures during this time might push sheriffs to change their stance. While Sheriff Adam Fortney (Snohomish County, Washington) faced two separate recall efforts because of his refusal to enforce COVID-related restrictions in his county (</w:t>
      </w:r>
      <w:r>
        <w:rPr>
          <w:b w:val="0"/>
          <w:i w:val="0"/>
          <w:smallCaps w:val="0"/>
          <w:strike w:val="0"/>
          <w:u w:val="none"/>
        </w:rPr>
        <w:t>Pailthrop</w:t>
      </w:r>
      <w:r>
        <w:rPr>
          <w:b w:val="0"/>
          <w:i w:val="0"/>
          <w:smallCaps w:val="0"/>
          <w:strike w:val="0"/>
          <w:u w:val="none"/>
        </w:rPr>
        <w:t xml:space="preserve"> 2021), it is possible that many sheriffs’ constituents largely ignored this behavior, making it relatively cost-free to engage in these stances. When we examine if RWE is associated with releasing individuals from jail during COVID (a far less politicized measure and one that involved fewer mandates from other governments), we found</w:t>
      </w:r>
      <w:r>
        <w:rPr>
          <w:b w:val="0"/>
          <w:i w:val="0"/>
          <w:smallCaps w:val="0"/>
          <w:strike w:val="0"/>
          <w:u w:val="none"/>
        </w:rPr>
        <w:t xml:space="preserve"> </w:t>
      </w:r>
      <w:r>
        <w:rPr>
          <w:b w:val="0"/>
          <w:i w:val="0"/>
          <w:smallCaps w:val="0"/>
          <w:strike w:val="0"/>
          <w:u w:val="none"/>
        </w:rPr>
        <w:t>no relationship. Other research might consider whether the source of the mandate (local, state, or national) matters in shaping sheriffs' resistance. When local governments passed eviction bans during the COVID-19 crisis (Farris, Holman, and Sullivan 2022), did sheriffs resist these efforts as well?</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