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biopolitical forms of law and language aren’t just “pure theory” – they have </w:t>
      </w:r>
      <w:r>
        <w:rPr>
          <w:b/>
          <w:i w:val="0"/>
          <w:smallCaps w:val="0"/>
          <w:strike w:val="0"/>
          <w:sz w:val="26"/>
          <w:u w:val="single"/>
        </w:rPr>
        <w:t>material effects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Foranzi 23 </w:t>
      </w:r>
      <w:r>
        <w:rPr>
          <w:b w:val="0"/>
          <w:i w:val="0"/>
          <w:smallCaps w:val="0"/>
          <w:strike w:val="0"/>
          <w:u w:val="none"/>
        </w:rPr>
        <w:t xml:space="preserve">(Francesco Foranzi is a Doctor of Philosophy and is a fellow of the Westminster Law &amp; Theory Lab. “Study of Law Without Ends.” Biopolitics and </w:t>
      </w:r>
      <w:r>
        <w:rPr>
          <w:b w:val="0"/>
          <w:i w:val="0"/>
          <w:smallCaps w:val="0"/>
          <w:strike w:val="0"/>
          <w:u w:val="none"/>
        </w:rPr>
        <w:t>reisistance</w:t>
      </w:r>
      <w:r>
        <w:rPr>
          <w:b w:val="0"/>
          <w:i w:val="0"/>
          <w:smallCaps w:val="0"/>
          <w:strike w:val="0"/>
          <w:u w:val="none"/>
        </w:rPr>
        <w:t xml:space="preserve"> in legal education. https://search.lib.umich.edu/catalog/record/99187803683206381?query=Biopolitics+and+Resistance+in+Legal+Education&amp;utm_source=lib-home.)</w:t>
      </w:r>
      <w:r>
        <w:rPr>
          <w:b w:val="0"/>
          <w:i w:val="0"/>
          <w:smallCaps w:val="0"/>
          <w:strike w:val="0"/>
          <w:u w:val="none"/>
        </w:rPr>
        <w:t>//ahuero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Philosophically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speaking,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Agamben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suggests,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both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language and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sig-naturae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signify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efficacious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relation between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respectively,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words and world, law and life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.83 Like language,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law is not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merely signification</w:t>
      </w:r>
      <w:r>
        <w:rPr>
          <w:b w:val="0"/>
          <w:i w:val="0"/>
          <w:smallCaps w:val="0"/>
          <w:strike w:val="0"/>
          <w:sz w:val="16"/>
          <w:u w:val="single"/>
        </w:rPr>
        <w:t>, ‘“</w:t>
      </w:r>
      <w:r>
        <w:rPr>
          <w:b w:val="0"/>
          <w:i w:val="0"/>
          <w:smallCaps w:val="0"/>
          <w:strike w:val="0"/>
          <w:sz w:val="16"/>
          <w:u w:val="single"/>
        </w:rPr>
        <w:t>ius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dicere</w:t>
      </w:r>
      <w:r>
        <w:rPr>
          <w:b w:val="0"/>
          <w:i w:val="0"/>
          <w:smallCaps w:val="0"/>
          <w:strike w:val="0"/>
          <w:sz w:val="16"/>
          <w:u w:val="single"/>
        </w:rPr>
        <w:t>” (saying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what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conformity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with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law)’: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it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always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also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‘“vim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dicere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” (saying the efficacious word)’84 which </w:t>
      </w:r>
      <w:r>
        <w:rPr>
          <w:b w:val="0"/>
          <w:i w:val="0"/>
          <w:smallCaps w:val="0"/>
          <w:strike w:val="0"/>
          <w:sz w:val="22"/>
          <w:u w:val="single"/>
        </w:rPr>
        <w:t>constitutes the legal order as the sphere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which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law </w:t>
      </w:r>
      <w:r>
        <w:rPr>
          <w:b w:val="0"/>
          <w:i w:val="0"/>
          <w:smallCaps w:val="0"/>
          <w:strike w:val="0"/>
          <w:sz w:val="22"/>
          <w:u w:val="single"/>
        </w:rPr>
        <w:t>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(i.e.,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has the power to) refer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life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(like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words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refer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world)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stable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efficacious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manner.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efficacious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relation</w:t>
      </w:r>
      <w:r>
        <w:rPr>
          <w:b w:val="0"/>
          <w:i w:val="0"/>
          <w:smallCaps w:val="0"/>
          <w:strike w:val="0"/>
          <w:sz w:val="16"/>
          <w:u w:val="single"/>
        </w:rPr>
        <w:t>—which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represents, with Agamben’s words, an ‘excess of efficacy over signification’, ‘a relation that exceeds and grounds every relation’85—</w:t>
      </w:r>
      <w:r>
        <w:rPr>
          <w:b w:val="0"/>
          <w:i w:val="0"/>
          <w:smallCaps w:val="0"/>
          <w:strike w:val="0"/>
          <w:sz w:val="22"/>
          <w:u w:val="single"/>
        </w:rPr>
        <w:t>is thus allowed to produce meaning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(i.e., to signify) in accordance with the logic of instrumentality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. Most importantly,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concrete instances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(including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theories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judicial and legislative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decisions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administrative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juridical categories, and so forth)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 which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relatability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expressed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articulated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become paradigms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signatura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of law, examples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(i.e., </w:t>
      </w:r>
      <w:r>
        <w:rPr>
          <w:b w:val="0"/>
          <w:i w:val="0"/>
          <w:smallCaps w:val="0"/>
          <w:strike w:val="0"/>
          <w:sz w:val="22"/>
          <w:u w:val="single"/>
        </w:rPr>
        <w:t>organised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potentiality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).Law’s self-preservation coincides with the administration of the relatability of law and life and, from this perspective,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it is biopolitical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governmental: it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constitutes life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itself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governable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force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at the same time,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produces the sub-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ject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(of law)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who will administer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life’s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governability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the (law’s) ‘signator’,86the subject who administers the </w:t>
      </w:r>
      <w:r>
        <w:rPr>
          <w:b w:val="0"/>
          <w:i w:val="0"/>
          <w:smallCaps w:val="0"/>
          <w:strike w:val="0"/>
          <w:sz w:val="16"/>
          <w:u w:val="single"/>
        </w:rPr>
        <w:t>signatura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(of law). This figure represents an </w:t>
      </w:r>
      <w:r>
        <w:rPr>
          <w:b w:val="0"/>
          <w:i w:val="0"/>
          <w:smallCaps w:val="0"/>
          <w:strike w:val="0"/>
          <w:sz w:val="22"/>
          <w:u w:val="single"/>
        </w:rPr>
        <w:t>‘enunciative function’, to be understood, with Foucault, as a ‘vacant place’ within a network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relations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individuals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order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produce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intelligible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meaning in a given historical moment</w:t>
      </w:r>
      <w:r>
        <w:rPr>
          <w:b w:val="0"/>
          <w:i w:val="0"/>
          <w:smallCaps w:val="0"/>
          <w:strike w:val="0"/>
          <w:sz w:val="16"/>
          <w:u w:val="single"/>
        </w:rPr>
        <w:t>.87 This ‘</w:t>
      </w:r>
      <w:r>
        <w:rPr>
          <w:b w:val="0"/>
          <w:i w:val="0"/>
          <w:smallCaps w:val="0"/>
          <w:strike w:val="0"/>
          <w:sz w:val="16"/>
          <w:u w:val="single"/>
        </w:rPr>
        <w:t>signatura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’ produces a </w:t>
      </w:r>
      <w:r>
        <w:rPr>
          <w:b w:val="0"/>
          <w:i w:val="0"/>
          <w:smallCaps w:val="0"/>
          <w:strike w:val="0"/>
          <w:sz w:val="22"/>
          <w:u w:val="single"/>
        </w:rPr>
        <w:t>‘sanctioned mode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intelligibility’88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through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institutions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‘subjective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enunciative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positions’ that pre-determine the intention to signify of the individuals enter-</w:t>
      </w:r>
      <w:r>
        <w:rPr>
          <w:b w:val="0"/>
          <w:i w:val="0"/>
          <w:smallCaps w:val="0"/>
          <w:strike w:val="0"/>
          <w:sz w:val="16"/>
          <w:u w:val="single"/>
        </w:rPr>
        <w:t>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that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framework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meaningful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signification,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thus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allowing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them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to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con-struct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objective world</w:t>
      </w:r>
      <w:r>
        <w:rPr>
          <w:b/>
          <w:i w:val="0"/>
          <w:smallCaps w:val="0"/>
          <w:strike w:val="0"/>
          <w:sz w:val="22"/>
          <w:u w:val="single"/>
        </w:rPr>
        <w:t xml:space="preserve"> around them.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 xml:space="preserve">In this sense, for example, </w:t>
      </w:r>
      <w:r>
        <w:rPr>
          <w:b w:val="0"/>
          <w:i w:val="0"/>
          <w:smallCaps w:val="0"/>
          <w:strike w:val="0"/>
          <w:sz w:val="22"/>
          <w:u w:val="single"/>
        </w:rPr>
        <w:t>when legal theorists speak of a fundamental norm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(such as Kelsen’s </w:t>
      </w:r>
      <w:r>
        <w:rPr>
          <w:b w:val="0"/>
          <w:i w:val="0"/>
          <w:smallCaps w:val="0"/>
          <w:strike w:val="0"/>
          <w:sz w:val="16"/>
          <w:u w:val="single"/>
        </w:rPr>
        <w:t>Grundnorm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or Hart’s rule of recognition) which allows to deter-mine the criteria for identifying the law,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are implicitly dealing with the issue of law’s </w:t>
      </w:r>
      <w:r>
        <w:rPr>
          <w:b w:val="0"/>
          <w:i w:val="0"/>
          <w:smallCaps w:val="0"/>
          <w:strike w:val="0"/>
          <w:sz w:val="22"/>
          <w:u w:val="single"/>
        </w:rPr>
        <w:t>signatur</w:t>
      </w:r>
      <w:r>
        <w:rPr>
          <w:b w:val="0"/>
          <w:i w:val="0"/>
          <w:smallCaps w:val="0"/>
          <w:strike w:val="0"/>
          <w:sz w:val="16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. My suggestion, specifically, is that the enunciative </w:t>
      </w:r>
      <w:r>
        <w:rPr>
          <w:b w:val="0"/>
          <w:i w:val="0"/>
          <w:smallCaps w:val="0"/>
          <w:strike w:val="0"/>
          <w:sz w:val="16"/>
          <w:u w:val="single"/>
        </w:rPr>
        <w:t>func-tion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presupposed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by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legal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theory’s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fundamental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norm(s)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turn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life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‘zero-degree of law’,90 that is to say,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 instrument for the self-preservation of law</w:t>
      </w:r>
      <w:r>
        <w:rPr>
          <w:b w:val="0"/>
          <w:i w:val="0"/>
          <w:smallCaps w:val="0"/>
          <w:strike w:val="0"/>
          <w:sz w:val="22"/>
          <w:u w:val="single"/>
        </w:rPr>
        <w:t>. Crucially,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‘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master norms’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which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found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relation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between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life in terms of decidability, are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shaped and sustained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by various ‘officials’ and, ultimately, also by ‘the man in the street’,91 that is to say,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by society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at large.92For example, as Atienza and Manero suggest, the fact that ‘one could not use the law as a mechanism of foreseeing the consequences of one’s own </w:t>
      </w:r>
      <w:r>
        <w:rPr>
          <w:b w:val="0"/>
          <w:i w:val="0"/>
          <w:smallCaps w:val="0"/>
          <w:strike w:val="0"/>
          <w:sz w:val="16"/>
          <w:u w:val="single"/>
        </w:rPr>
        <w:t>behav-iour</w:t>
      </w:r>
      <w:r>
        <w:rPr>
          <w:b w:val="0"/>
          <w:i w:val="0"/>
          <w:smallCaps w:val="0"/>
          <w:strike w:val="0"/>
          <w:sz w:val="16"/>
          <w:u w:val="single"/>
        </w:rPr>
        <w:t>, if one would not expect norm-applying and norm-producing organs to follow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one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same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rule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recognition’,93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implies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that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private citizens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themselves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enforce</w:t>
      </w:r>
      <w:r>
        <w:rPr>
          <w:b/>
          <w:i w:val="0"/>
          <w:smallCaps w:val="0"/>
          <w:strike w:val="0"/>
          <w:sz w:val="22"/>
          <w:u w:val="single"/>
        </w:rPr>
        <w:t>, through their thoughts and actions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law’s decidability</w:t>
      </w:r>
      <w:r>
        <w:rPr>
          <w:b w:val="0"/>
          <w:i w:val="0"/>
          <w:smallCaps w:val="0"/>
          <w:strike w:val="0"/>
          <w:sz w:val="22"/>
          <w:u w:val="single"/>
        </w:rPr>
        <w:t>, and, in this respect, act as (quasi)officials who perform a social function</w:t>
      </w:r>
      <w:r>
        <w:rPr>
          <w:b w:val="0"/>
          <w:i w:val="0"/>
          <w:smallCaps w:val="0"/>
          <w:strike w:val="0"/>
          <w:sz w:val="16"/>
          <w:u w:val="single"/>
        </w:rPr>
        <w:t>. In similar terms,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Lindhal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has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recently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re-interpreted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Kelsen’s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Grundnorm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as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an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‘ought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form</w:t>
      </w:r>
      <w:r>
        <w:rPr>
          <w:b w:val="0"/>
          <w:i w:val="0"/>
          <w:smallCaps w:val="0"/>
          <w:strike w:val="0"/>
          <w:sz w:val="16"/>
          <w:u w:val="single"/>
        </w:rPr>
        <w:t>’ which provides subjects with social agency by, precisely, allowing them to understand ‘something as something in law’.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Law can thus be interpreted, with Agamben, as a process of ‘</w:t>
      </w:r>
      <w:r>
        <w:rPr>
          <w:b w:val="0"/>
          <w:i w:val="0"/>
          <w:smallCaps w:val="0"/>
          <w:strike w:val="0"/>
          <w:sz w:val="22"/>
          <w:u w:val="single"/>
        </w:rPr>
        <w:t>desemantici-sation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suspension of concrete praxis ... custom and usage of individuals’ (i.e., life) which produces (‘isolates’) a norm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,95 a ‘generic proposition endowed with a merely virtual reference’96 which, in turn, grounds a </w:t>
      </w:r>
      <w:r>
        <w:rPr>
          <w:b w:val="0"/>
          <w:i w:val="0"/>
          <w:smallCaps w:val="0"/>
          <w:strike w:val="0"/>
          <w:sz w:val="16"/>
          <w:u w:val="single"/>
        </w:rPr>
        <w:t>generalised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ability to decide (</w:t>
      </w:r>
      <w:r>
        <w:rPr>
          <w:b w:val="0"/>
          <w:i w:val="0"/>
          <w:smallCaps w:val="0"/>
          <w:strike w:val="0"/>
          <w:sz w:val="16"/>
          <w:u w:val="single"/>
        </w:rPr>
        <w:t>decid</w:t>
      </w:r>
      <w:r>
        <w:rPr>
          <w:b w:val="0"/>
          <w:i w:val="0"/>
          <w:smallCaps w:val="0"/>
          <w:strike w:val="0"/>
          <w:sz w:val="16"/>
          <w:u w:val="single"/>
        </w:rPr>
        <w:t>-ability). In fact, the application of a norm</w:t>
      </w:r>
      <w:r>
        <w:rPr>
          <w:b w:val="0"/>
          <w:i w:val="0"/>
          <w:smallCaps w:val="0"/>
          <w:strike w:val="0"/>
          <w:sz w:val="22"/>
          <w:u w:val="single"/>
        </w:rPr>
        <w:t>—‘the passage ... from virtual reference to a concrete reference to a segment of reality’—is not merely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logical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(deductive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or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inductive)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operation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and,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this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sense,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‘is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no way contained within the norm and cannot be derived from it; otherwise, there would have been no need to create the grand edifice of trial law’.97 The application of the norm, Agamben continues, is the expression of an ‘</w:t>
      </w:r>
      <w:r>
        <w:rPr>
          <w:b w:val="0"/>
          <w:i w:val="0"/>
          <w:smallCaps w:val="0"/>
          <w:strike w:val="0"/>
          <w:sz w:val="16"/>
          <w:u w:val="single"/>
        </w:rPr>
        <w:t>enuncia-tive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function’, ‘a trial that always involves a plurality of subjects and ultimately culminates in the pronunciation of a sentence, that is, </w:t>
      </w:r>
      <w:r>
        <w:rPr>
          <w:b w:val="0"/>
          <w:i w:val="0"/>
          <w:smallCaps w:val="0"/>
          <w:strike w:val="0"/>
          <w:sz w:val="22"/>
          <w:u w:val="single"/>
        </w:rPr>
        <w:t>an enunciation whose operative reference to reality is guaranteed by the institutional powers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’.98 The law, from this perspective, is split into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two poles, namely, on one side, a ‘pure form of law’ ‘reduced to the zero point of its significance’,99 (the idea of law’s virtuality as the ultimate representation of law as means) and, on the other, a ‘force-of-law’, a ‘juridically formless ... vis </w:t>
      </w:r>
      <w:r>
        <w:rPr>
          <w:b w:val="0"/>
          <w:i w:val="0"/>
          <w:smallCaps w:val="0"/>
          <w:strike w:val="0"/>
          <w:sz w:val="22"/>
          <w:u w:val="single"/>
        </w:rPr>
        <w:t>obligandi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applicability’100 (represent-</w:t>
      </w:r>
      <w:r>
        <w:rPr>
          <w:b w:val="0"/>
          <w:i w:val="0"/>
          <w:smallCaps w:val="0"/>
          <w:strike w:val="0"/>
          <w:sz w:val="22"/>
          <w:u w:val="single"/>
        </w:rPr>
        <w:t>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necessity of a decision as the external finality of law).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biopolitical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terms,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life itself is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same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time,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desemanticised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turned into a means for a decision on,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precisely,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life’s governability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ulti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-mate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bio</w:t>
      </w:r>
      <w:r>
        <w:rPr>
          <w:b w:val="0"/>
          <w:i w:val="0"/>
          <w:smallCaps w:val="0"/>
          <w:strike w:val="0"/>
          <w:sz w:val="22"/>
          <w:u w:val="single"/>
        </w:rPr>
        <w:t>-</w:t>
      </w:r>
      <w:r>
        <w:rPr>
          <w:b w:val="0"/>
          <w:i w:val="0"/>
          <w:smallCaps w:val="0"/>
          <w:strike w:val="0"/>
          <w:sz w:val="22"/>
          <w:u w:val="single"/>
        </w:rPr>
        <w:t>power</w:t>
      </w:r>
      <w:r>
        <w:rPr>
          <w:b w:val="0"/>
          <w:i w:val="0"/>
          <w:smallCaps w:val="0"/>
          <w:strike w:val="0"/>
          <w:sz w:val="16"/>
          <w:u w:val="none"/>
        </w:rPr>
        <w:t>).101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desemanticisation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life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produces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only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decidability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generally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life’s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governability,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idea that life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such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governable, 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better,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ungovernable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(an-</w:t>
      </w:r>
      <w:r>
        <w:rPr>
          <w:b w:val="0"/>
          <w:i w:val="0"/>
          <w:smallCaps w:val="0"/>
          <w:strike w:val="0"/>
          <w:sz w:val="22"/>
          <w:u w:val="single"/>
        </w:rPr>
        <w:t>archos</w:t>
      </w:r>
      <w:r>
        <w:rPr>
          <w:b w:val="0"/>
          <w:i w:val="0"/>
          <w:smallCaps w:val="0"/>
          <w:strike w:val="0"/>
          <w:sz w:val="22"/>
          <w:u w:val="single"/>
        </w:rPr>
        <w:t>)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very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reason,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something that has to be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governed</w:t>
      </w:r>
      <w:r>
        <w:rPr>
          <w:b w:val="0"/>
          <w:i w:val="0"/>
          <w:smallCaps w:val="0"/>
          <w:strike w:val="0"/>
          <w:sz w:val="22"/>
          <w:u w:val="single"/>
        </w:rPr>
        <w:t>102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through a praxis which will always demand, more or less directly, also a decision on the relationship between life and law. </w:t>
      </w:r>
      <w:r>
        <w:rPr>
          <w:b w:val="0"/>
          <w:i w:val="0"/>
          <w:smallCaps w:val="0"/>
          <w:strike w:val="0"/>
          <w:sz w:val="22"/>
          <w:u w:val="single"/>
        </w:rPr>
        <w:t>Any meaning biopolitics attributes to life will presuppose the ‘</w:t>
      </w:r>
      <w:r>
        <w:rPr>
          <w:b w:val="0"/>
          <w:i w:val="0"/>
          <w:smallCaps w:val="0"/>
          <w:strike w:val="0"/>
          <w:sz w:val="22"/>
          <w:u w:val="single"/>
        </w:rPr>
        <w:t>signatura</w:t>
      </w:r>
      <w:r>
        <w:rPr>
          <w:b w:val="0"/>
          <w:i w:val="0"/>
          <w:smallCaps w:val="0"/>
          <w:strike w:val="0"/>
          <w:sz w:val="22"/>
          <w:u w:val="single"/>
        </w:rPr>
        <w:t>’ of life’s governability,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constitution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force-of-law,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say,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life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normatively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charged in order to ground a decision on its relationship with the law—and, therefore, on law’s self-preservation. </w:t>
      </w:r>
      <w:r>
        <w:rPr>
          <w:b w:val="0"/>
          <w:i w:val="0"/>
          <w:smallCaps w:val="0"/>
          <w:strike w:val="0"/>
          <w:sz w:val="22"/>
          <w:u w:val="single"/>
        </w:rPr>
        <w:t>Life’s governability is thus defined by its relationship with law’s decidability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This is true even in situations in which the law seems to disappear</w:t>
      </w:r>
      <w:r>
        <w:rPr>
          <w:b w:val="0"/>
          <w:i w:val="0"/>
          <w:smallCaps w:val="0"/>
          <w:strike w:val="0"/>
          <w:sz w:val="16"/>
          <w:u w:val="none"/>
        </w:rPr>
        <w:t>. In this respect,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even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(Foucault’s)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normalisation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namely,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processes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through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aspects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life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become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intelligible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terms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(deviation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from)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norm—i.e., ‘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new form of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law,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mixture of legality and nature, prescription and constitution’,103 a ‘natural rule’,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providing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‘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standards against which people are measured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incessantly’104—is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functionally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instrumentally)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related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2"/>
          <w:u w:val="single"/>
        </w:rPr>
        <w:t>legalisation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Kelly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observes,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side,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law is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colonised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by the norm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and, on the other, the norm provides law ‘with a new, indefinitely expanding scaffold’.105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words,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norm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stands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representation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‘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society itself in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perfected form’</w:t>
      </w:r>
      <w:r>
        <w:rPr>
          <w:b w:val="0"/>
          <w:i w:val="0"/>
          <w:smallCaps w:val="0"/>
          <w:strike w:val="0"/>
          <w:sz w:val="22"/>
          <w:u w:val="single"/>
        </w:rPr>
        <w:t>106</w:t>
      </w:r>
      <w:r>
        <w:rPr>
          <w:b w:val="0"/>
          <w:i w:val="0"/>
          <w:smallCaps w:val="0"/>
          <w:strike w:val="0"/>
          <w:sz w:val="16"/>
          <w:u w:val="none"/>
        </w:rPr>
        <w:t>—and,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therefore,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means)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gives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force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(i.e.,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justifies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enforcement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formal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means</w:t>
      </w:r>
      <w:r>
        <w:rPr>
          <w:b w:val="0"/>
          <w:i w:val="0"/>
          <w:smallCaps w:val="0"/>
          <w:strike w:val="0"/>
          <w:sz w:val="16"/>
          <w:u w:val="none"/>
        </w:rPr>
        <w:t>)—but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constitution of norm as an end and a force (of law as means and form) stands ultimately,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again,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constitution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sphere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decidability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ambiguous relation between law and life: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society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‘in a perfected form’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in this sense, merely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 virtual space in which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‘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everything is punishable’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,107 the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space of a never-ending trial.</w:t>
      </w:r>
    </w:p>
    <w:p>
      <w:pPr>
        <w:pStyle w:val="Caption"/>
      </w:pPr>
      <w:r>
        <w:t>Source: Biopolitics Kritik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