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Expanding patent protection and eligibility cuts back on Court decisions against biopolitics, furthering the biopolitical state’s expansion into everyday life.</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18 //nw-avis)</w:t>
      </w:r>
    </w:p>
    <w:p>
      <w:pPr>
        <w:spacing w:after="60"/>
      </w:pPr>
      <w:r>
        <w:rPr>
          <w:b w:val="0"/>
          <w:i w:val="0"/>
          <w:smallCaps w:val="0"/>
          <w:strike w:val="0"/>
          <w:sz w:val="16"/>
          <w:u w:val="none"/>
        </w:rPr>
        <w:t xml:space="preserve">The final main chapter (Chapter 5) treats developments in patents. </w:t>
      </w:r>
      <w:r>
        <w:rPr>
          <w:b/>
          <w:i w:val="0"/>
          <w:smallCaps w:val="0"/>
          <w:strike w:val="0"/>
          <w:sz w:val="22"/>
          <w:u w:val="single"/>
        </w:rPr>
        <w:t>Patent law is where the messy evolution of IP into neoliberal biopower is most contested</w:t>
      </w:r>
      <w:r>
        <w:rPr>
          <w:b w:val="0"/>
          <w:i w:val="0"/>
          <w:smallCaps w:val="0"/>
          <w:strike w:val="0"/>
          <w:sz w:val="16"/>
          <w:u w:val="none"/>
        </w:rPr>
        <w:t xml:space="preserve">, </w:t>
      </w:r>
      <w:r>
        <w:rPr>
          <w:b w:val="0"/>
          <w:i w:val="0"/>
          <w:smallCaps w:val="0"/>
          <w:strike w:val="0"/>
          <w:sz w:val="22"/>
          <w:u w:val="single"/>
        </w:rPr>
        <w:t>substantially because it is here that the Supreme Court has repeatedly pushed back against it</w:t>
      </w:r>
      <w:r>
        <w:rPr>
          <w:b w:val="0"/>
          <w:i w:val="0"/>
          <w:smallCaps w:val="0"/>
          <w:strike w:val="0"/>
          <w:sz w:val="16"/>
          <w:u w:val="none"/>
        </w:rPr>
        <w:t xml:space="preserve">. This pushback has understandably been a source of confusion; the chapter here provides a new theoretical framework through which to interpret it. In the opening section, </w:t>
      </w:r>
      <w:r>
        <w:rPr>
          <w:b w:val="0"/>
          <w:i w:val="0"/>
          <w:smallCaps w:val="0"/>
          <w:strike w:val="0"/>
          <w:sz w:val="22"/>
          <w:u w:val="single"/>
        </w:rPr>
        <w:t>I lay out the emergence of a new model of medicine in genomics and other biotechnologies and show how that model functions as a form of neoliberal subjectification insofar as it conceptualizes health as a form of risk management and human capital development</w:t>
      </w:r>
      <w:r>
        <w:rPr>
          <w:b w:val="0"/>
          <w:i w:val="0"/>
          <w:smallCaps w:val="0"/>
          <w:strike w:val="0"/>
          <w:sz w:val="16"/>
          <w:u w:val="none"/>
        </w:rPr>
        <w:t xml:space="preserve">. </w:t>
      </w:r>
      <w:r>
        <w:rPr>
          <w:b w:val="0"/>
          <w:i w:val="0"/>
          <w:smallCaps w:val="0"/>
          <w:strike w:val="0"/>
          <w:sz w:val="22"/>
          <w:u w:val="single"/>
        </w:rPr>
        <w:t>I then turn to the difficult question of the patentability of isolated gene fragments. The Supreme Court’s decision rejecting such patentability was a surprise to most observers.</w:t>
      </w:r>
      <w:r>
        <w:rPr>
          <w:b w:val="0"/>
          <w:i w:val="0"/>
          <w:smallCaps w:val="0"/>
          <w:strike w:val="0"/>
          <w:sz w:val="16"/>
          <w:u w:val="none"/>
        </w:rPr>
        <w:t xml:space="preserve"> </w:t>
      </w:r>
      <w:r>
        <w:rPr>
          <w:b w:val="0"/>
          <w:i w:val="0"/>
          <w:smallCaps w:val="0"/>
          <w:strike w:val="0"/>
          <w:sz w:val="22"/>
          <w:u w:val="single"/>
        </w:rPr>
        <w:t>Looking at the litigation at both the appellate and Supreme Court levels, I examine how judicial understandings of patentability intersect with the test for the BRCA1/2 mutation</w:t>
      </w:r>
      <w:r>
        <w:rPr>
          <w:b w:val="0"/>
          <w:i w:val="0"/>
          <w:smallCaps w:val="0"/>
          <w:strike w:val="0"/>
          <w:sz w:val="16"/>
          <w:u w:val="none"/>
        </w:rPr>
        <w:t xml:space="preserve">. Because gene fragments were routinely considered as patentable for nearly a generation before the Supreme Court’s decision, </w:t>
      </w:r>
      <w:r>
        <w:rPr>
          <w:b w:val="0"/>
          <w:i w:val="0"/>
          <w:smallCaps w:val="0"/>
          <w:strike w:val="0"/>
          <w:sz w:val="22"/>
          <w:u w:val="single"/>
        </w:rPr>
        <w:t>the litigation and the research around cancer-causing genes offer a nearly ideal case study of the stakes in</w:t>
      </w:r>
      <w:r>
        <w:rPr>
          <w:b w:val="0"/>
          <w:i w:val="0"/>
          <w:smallCaps w:val="0"/>
          <w:strike w:val="0"/>
          <w:sz w:val="16"/>
          <w:u w:val="none"/>
        </w:rPr>
        <w:t xml:space="preserve"> </w:t>
      </w:r>
      <w:r>
        <w:rPr>
          <w:b/>
          <w:i w:val="0"/>
          <w:smallCaps w:val="0"/>
          <w:strike w:val="0"/>
          <w:sz w:val="22"/>
          <w:u w:val="single"/>
        </w:rPr>
        <w:t>how one models the form of power underlying subject-matter patentability, and how patentability encourages the development of neoliberal agents</w:t>
      </w:r>
      <w:r>
        <w:rPr>
          <w:b w:val="0"/>
          <w:i w:val="0"/>
          <w:smallCaps w:val="0"/>
          <w:strike w:val="0"/>
          <w:sz w:val="16"/>
          <w:u w:val="none"/>
        </w:rPr>
        <w:t xml:space="preserve"> </w:t>
      </w:r>
      <w:r>
        <w:rPr>
          <w:b w:val="0"/>
          <w:i w:val="0"/>
          <w:smallCaps w:val="0"/>
          <w:strike w:val="0"/>
          <w:sz w:val="22"/>
          <w:u w:val="single"/>
        </w:rPr>
        <w:t>who model their health in terms borrowed from financial risk.</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