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is a biopolitical tool for nations to exercise long-term power over its populations.</w:t>
      </w:r>
    </w:p>
    <w:p>
      <w:pPr>
        <w:spacing w:after="80"/>
      </w:pPr>
      <w:r>
        <w:rPr>
          <w:b/>
          <w:i w:val="0"/>
          <w:smallCaps w:val="0"/>
          <w:strike w:val="0"/>
          <w:sz w:val="26"/>
          <w:u w:val="none"/>
        </w:rPr>
        <w:t>Gervassis</w:t>
      </w:r>
      <w:r>
        <w:rPr>
          <w:b/>
          <w:i w:val="0"/>
          <w:smallCaps w:val="0"/>
          <w:strike w:val="0"/>
          <w:sz w:val="26"/>
          <w:u w:val="none"/>
        </w:rPr>
        <w:t xml:space="preserve"> 20</w:t>
      </w:r>
      <w:r>
        <w:rPr>
          <w:b w:val="0"/>
          <w:i w:val="0"/>
          <w:smallCaps w:val="0"/>
          <w:strike w:val="0"/>
          <w:u w:val="none"/>
        </w:rPr>
        <w:t xml:space="preserve">, Dr Nicholas </w:t>
      </w:r>
      <w:r>
        <w:rPr>
          <w:b w:val="0"/>
          <w:i w:val="0"/>
          <w:smallCaps w:val="0"/>
          <w:strike w:val="0"/>
          <w:u w:val="none"/>
        </w:rPr>
        <w:t>Gervassis</w:t>
      </w:r>
      <w:r>
        <w:rPr>
          <w:b w:val="0"/>
          <w:i w:val="0"/>
          <w:smallCaps w:val="0"/>
          <w:strike w:val="0"/>
          <w:u w:val="none"/>
        </w:rPr>
        <w:t xml:space="preserve"> is an Assistant Professor in Law (Technology and Data) at the University of Nottingham. He’s read law at the Democritus University of Thrace, Greece. He completed the LLM in Innovation, Technology and the Law at the University of Edinburgh, and he was awarded his PhD from the same institution. “Information biopolitics: copyright law and the regulation of life in the network society”, 2020-06-25, JLB, International Review of Law, Computers &amp; Technology, Volume 35, 2021 - Issue 1</w:t>
      </w:r>
    </w:p>
    <w:p>
      <w:pPr>
        <w:spacing w:after="60"/>
      </w:pPr>
      <w:r>
        <w:rPr>
          <w:b w:val="0"/>
          <w:i w:val="0"/>
          <w:smallCaps w:val="0"/>
          <w:strike w:val="0"/>
          <w:sz w:val="22"/>
          <w:highlight w:val="green"/>
          <w:u w:val="single"/>
        </w:rPr>
        <w:t>Online settings illustrate</w:t>
      </w:r>
      <w:r>
        <w:rPr>
          <w:b w:val="0"/>
          <w:i w:val="0"/>
          <w:smallCaps w:val="0"/>
          <w:strike w:val="0"/>
          <w:sz w:val="22"/>
          <w:u w:val="single"/>
        </w:rPr>
        <w:t xml:space="preserve"> sharply our passing into </w:t>
      </w:r>
      <w:r>
        <w:rPr>
          <w:b w:val="0"/>
          <w:i w:val="0"/>
          <w:smallCaps w:val="0"/>
          <w:strike w:val="0"/>
          <w:sz w:val="22"/>
          <w:highlight w:val="green"/>
          <w:u w:val="single"/>
        </w:rPr>
        <w:t>the information age</w:t>
      </w:r>
      <w:r>
        <w:rPr>
          <w:b w:val="0"/>
          <w:i w:val="0"/>
          <w:smallCaps w:val="0"/>
          <w:strike w:val="0"/>
          <w:sz w:val="22"/>
          <w:u w:val="single"/>
        </w:rPr>
        <w:t xml:space="preserve"> in the truest manner</w:t>
      </w:r>
      <w:r>
        <w:rPr>
          <w:b w:val="0"/>
          <w:i w:val="0"/>
          <w:smallCaps w:val="0"/>
          <w:strike w:val="0"/>
          <w:sz w:val="14"/>
          <w:u w:val="none"/>
        </w:rPr>
        <w:t xml:space="preserve">, with the development of culture and social relationships being mediated exclusively via ‘palpable’ digital information artefacts, </w:t>
      </w:r>
      <w:r>
        <w:rPr>
          <w:b w:val="0"/>
          <w:i w:val="0"/>
          <w:smallCaps w:val="0"/>
          <w:strike w:val="0"/>
          <w:sz w:val="22"/>
          <w:u w:val="single"/>
        </w:rPr>
        <w:t xml:space="preserve">like </w:t>
      </w:r>
      <w:r>
        <w:rPr>
          <w:b w:val="0"/>
          <w:i w:val="0"/>
          <w:smallCaps w:val="0"/>
          <w:strike w:val="0"/>
          <w:sz w:val="22"/>
          <w:highlight w:val="green"/>
          <w:u w:val="single"/>
        </w:rPr>
        <w:t>texts</w:t>
      </w:r>
      <w:r>
        <w:rPr>
          <w:b w:val="0"/>
          <w:i w:val="0"/>
          <w:smallCaps w:val="0"/>
          <w:strike w:val="0"/>
          <w:sz w:val="22"/>
          <w:u w:val="single"/>
        </w:rPr>
        <w:t xml:space="preserve">, </w:t>
      </w:r>
      <w:r>
        <w:rPr>
          <w:b w:val="0"/>
          <w:i w:val="0"/>
          <w:smallCaps w:val="0"/>
          <w:strike w:val="0"/>
          <w:sz w:val="22"/>
          <w:highlight w:val="green"/>
          <w:u w:val="single"/>
        </w:rPr>
        <w:t>images</w:t>
      </w:r>
      <w:r>
        <w:rPr>
          <w:b w:val="0"/>
          <w:i w:val="0"/>
          <w:smallCaps w:val="0"/>
          <w:strike w:val="0"/>
          <w:sz w:val="22"/>
          <w:u w:val="single"/>
        </w:rPr>
        <w:t xml:space="preserve">, </w:t>
      </w:r>
      <w:r>
        <w:rPr>
          <w:b w:val="0"/>
          <w:i w:val="0"/>
          <w:smallCaps w:val="0"/>
          <w:strike w:val="0"/>
          <w:sz w:val="22"/>
          <w:highlight w:val="green"/>
          <w:u w:val="single"/>
        </w:rPr>
        <w:t>videos</w:t>
      </w:r>
      <w:r>
        <w:rPr>
          <w:b w:val="0"/>
          <w:i w:val="0"/>
          <w:smallCaps w:val="0"/>
          <w:strike w:val="0"/>
          <w:sz w:val="22"/>
          <w:u w:val="single"/>
        </w:rPr>
        <w:t xml:space="preserve">, webpage links and </w:t>
      </w:r>
      <w:r>
        <w:rPr>
          <w:b w:val="0"/>
          <w:i w:val="0"/>
          <w:smallCaps w:val="0"/>
          <w:strike w:val="0"/>
          <w:sz w:val="22"/>
          <w:highlight w:val="green"/>
          <w:u w:val="single"/>
        </w:rPr>
        <w:t>social networking</w:t>
      </w:r>
      <w:r>
        <w:rPr>
          <w:b w:val="0"/>
          <w:i w:val="0"/>
          <w:smallCaps w:val="0"/>
          <w:strike w:val="0"/>
          <w:sz w:val="22"/>
          <w:u w:val="single"/>
        </w:rPr>
        <w:t xml:space="preserve"> accounts. </w:t>
      </w:r>
      <w:r>
        <w:rPr>
          <w:b w:val="0"/>
          <w:i w:val="0"/>
          <w:smallCaps w:val="0"/>
          <w:strike w:val="0"/>
          <w:sz w:val="22"/>
          <w:highlight w:val="green"/>
          <w:u w:val="single"/>
        </w:rPr>
        <w:t>Suspended between its intangible nature and its various ‘tangible’ expressions</w:t>
      </w:r>
      <w:r>
        <w:rPr>
          <w:b w:val="0"/>
          <w:i w:val="0"/>
          <w:smallCaps w:val="0"/>
          <w:strike w:val="0"/>
          <w:sz w:val="22"/>
          <w:u w:val="single"/>
        </w:rPr>
        <w:t>, and according to Drahos constituting ‘</w:t>
      </w:r>
      <w:r>
        <w:rPr>
          <w:b w:val="0"/>
          <w:i w:val="0"/>
          <w:smallCaps w:val="0"/>
          <w:strike w:val="0"/>
          <w:sz w:val="22"/>
          <w:highlight w:val="green"/>
          <w:u w:val="single"/>
        </w:rPr>
        <w:t>the daily lifeblood of human agents as communicating beings’</w:t>
      </w:r>
      <w:r>
        <w:rPr>
          <w:b w:val="0"/>
          <w:i w:val="0"/>
          <w:smallCaps w:val="0"/>
          <w:strike w:val="0"/>
          <w:sz w:val="22"/>
          <w:u w:val="single"/>
        </w:rPr>
        <w:t>,</w:t>
      </w:r>
      <w:r>
        <w:rPr>
          <w:b w:val="0"/>
          <w:i w:val="0"/>
          <w:smallCaps w:val="0"/>
          <w:strike w:val="0"/>
          <w:sz w:val="14"/>
          <w:u w:val="none"/>
        </w:rPr>
        <w:t xml:space="preserve"> </w:t>
      </w:r>
      <w:r>
        <w:rPr>
          <w:b/>
          <w:i w:val="0"/>
          <w:smallCaps w:val="0"/>
          <w:strike w:val="0"/>
          <w:sz w:val="22"/>
          <w:highlight w:val="green"/>
          <w:u w:val="single"/>
        </w:rPr>
        <w:t>information regulated under familiar legal conceptions of property suggests</w:t>
      </w:r>
      <w:r>
        <w:rPr>
          <w:b/>
          <w:i w:val="0"/>
          <w:smallCaps w:val="0"/>
          <w:strike w:val="0"/>
          <w:sz w:val="22"/>
          <w:u w:val="single"/>
        </w:rPr>
        <w:t xml:space="preserve"> arguably ‘</w:t>
      </w:r>
      <w:r>
        <w:rPr>
          <w:b/>
          <w:i w:val="0"/>
          <w:smallCaps w:val="0"/>
          <w:strike w:val="0"/>
          <w:sz w:val="22"/>
          <w:highlight w:val="green"/>
          <w:u w:val="single"/>
        </w:rPr>
        <w:t>biopolitical’</w:t>
      </w:r>
      <w:r>
        <w:rPr>
          <w:b/>
          <w:i w:val="0"/>
          <w:smallCaps w:val="0"/>
          <w:strike w:val="0"/>
          <w:sz w:val="22"/>
          <w:u w:val="single"/>
        </w:rPr>
        <w:t xml:space="preserve"> </w:t>
      </w:r>
      <w:r>
        <w:rPr>
          <w:b/>
          <w:i w:val="0"/>
          <w:smallCaps w:val="0"/>
          <w:strike w:val="0"/>
          <w:sz w:val="22"/>
          <w:highlight w:val="green"/>
          <w:u w:val="single"/>
        </w:rPr>
        <w:t>developments</w:t>
      </w:r>
      <w:r>
        <w:rPr>
          <w:b/>
          <w:i w:val="0"/>
          <w:smallCaps w:val="0"/>
          <w:strike w:val="0"/>
          <w:sz w:val="22"/>
          <w:u w:val="single"/>
        </w:rPr>
        <w:t>:</w:t>
      </w:r>
      <w:r>
        <w:rPr>
          <w:b w:val="0"/>
          <w:i w:val="0"/>
          <w:smallCaps w:val="0"/>
          <w:strike w:val="0"/>
          <w:sz w:val="14"/>
          <w:u w:val="none"/>
        </w:rPr>
        <w:t xml:space="preserve"> the hold, </w:t>
      </w:r>
      <w:r>
        <w:rPr>
          <w:b w:val="0"/>
          <w:i w:val="0"/>
          <w:smallCaps w:val="0"/>
          <w:strike w:val="0"/>
          <w:sz w:val="22"/>
          <w:u w:val="single"/>
        </w:rPr>
        <w:t xml:space="preserve">which one exerts on information items, extends to administering essentially life in its social and cultural aspects. </w:t>
      </w:r>
      <w:r>
        <w:rPr>
          <w:b/>
          <w:i w:val="0"/>
          <w:smallCaps w:val="0"/>
          <w:strike w:val="0"/>
          <w:sz w:val="22"/>
          <w:highlight w:val="green"/>
          <w:u w:val="single"/>
        </w:rPr>
        <w:t xml:space="preserve">The </w:t>
      </w:r>
      <w:r>
        <w:rPr>
          <w:b/>
          <w:i w:val="0"/>
          <w:smallCaps w:val="0"/>
          <w:strike w:val="0"/>
          <w:sz w:val="22"/>
          <w:highlight w:val="green"/>
          <w:u w:val="single"/>
        </w:rPr>
        <w:t>propertisation</w:t>
      </w:r>
      <w:r>
        <w:rPr>
          <w:b/>
          <w:i w:val="0"/>
          <w:smallCaps w:val="0"/>
          <w:strike w:val="0"/>
          <w:sz w:val="22"/>
          <w:highlight w:val="green"/>
          <w:u w:val="single"/>
        </w:rPr>
        <w:t xml:space="preserve"> of information in copyright laws </w:t>
      </w:r>
      <w:r>
        <w:rPr>
          <w:b/>
          <w:i w:val="0"/>
          <w:smallCaps w:val="0"/>
          <w:strike w:val="0"/>
          <w:sz w:val="22"/>
          <w:highlight w:val="green"/>
          <w:u w:val="single"/>
        </w:rPr>
        <w:t>authorises</w:t>
      </w:r>
      <w:r>
        <w:rPr>
          <w:b/>
          <w:i w:val="0"/>
          <w:smallCaps w:val="0"/>
          <w:strike w:val="0"/>
          <w:sz w:val="22"/>
          <w:highlight w:val="green"/>
          <w:u w:val="single"/>
        </w:rPr>
        <w:t xml:space="preserve"> long-term exercises of power that, in future, computer-mediated societies</w:t>
      </w:r>
      <w:r>
        <w:rPr>
          <w:b w:val="0"/>
          <w:i w:val="0"/>
          <w:smallCaps w:val="0"/>
          <w:strike w:val="0"/>
          <w:sz w:val="22"/>
          <w:u w:val="single"/>
        </w:rPr>
        <w:t xml:space="preserve">, could </w:t>
      </w:r>
      <w:r>
        <w:rPr>
          <w:b w:val="0"/>
          <w:i w:val="0"/>
          <w:smallCaps w:val="0"/>
          <w:strike w:val="0"/>
          <w:sz w:val="22"/>
          <w:highlight w:val="green"/>
          <w:u w:val="single"/>
        </w:rPr>
        <w:t>both undercut</w:t>
      </w:r>
      <w:r>
        <w:rPr>
          <w:b w:val="0"/>
          <w:i w:val="0"/>
          <w:smallCaps w:val="0"/>
          <w:strike w:val="0"/>
          <w:sz w:val="22"/>
          <w:u w:val="single"/>
        </w:rPr>
        <w:t xml:space="preserve"> circulation of vital </w:t>
      </w:r>
      <w:r>
        <w:rPr>
          <w:b w:val="0"/>
          <w:i w:val="0"/>
          <w:smallCaps w:val="0"/>
          <w:strike w:val="0"/>
          <w:sz w:val="22"/>
          <w:highlight w:val="green"/>
          <w:u w:val="single"/>
        </w:rPr>
        <w:t>knowledge and structure the public’s participation</w:t>
      </w:r>
      <w:r>
        <w:rPr>
          <w:b w:val="0"/>
          <w:i w:val="0"/>
          <w:smallCaps w:val="0"/>
          <w:strike w:val="0"/>
          <w:sz w:val="22"/>
          <w:u w:val="single"/>
        </w:rPr>
        <w:t xml:space="preserve"> in culture, </w:t>
      </w:r>
      <w:r>
        <w:rPr>
          <w:b w:val="0"/>
          <w:i w:val="0"/>
          <w:smallCaps w:val="0"/>
          <w:strike w:val="0"/>
          <w:sz w:val="22"/>
          <w:highlight w:val="green"/>
          <w:u w:val="single"/>
        </w:rPr>
        <w:t>thus</w:t>
      </w:r>
      <w:r>
        <w:rPr>
          <w:b w:val="0"/>
          <w:i w:val="0"/>
          <w:smallCaps w:val="0"/>
          <w:strike w:val="0"/>
          <w:sz w:val="22"/>
          <w:u w:val="single"/>
        </w:rPr>
        <w:t xml:space="preserve"> </w:t>
      </w:r>
      <w:r>
        <w:rPr>
          <w:b w:val="0"/>
          <w:i w:val="0"/>
          <w:smallCaps w:val="0"/>
          <w:strike w:val="0"/>
          <w:sz w:val="22"/>
          <w:highlight w:val="green"/>
          <w:u w:val="single"/>
        </w:rPr>
        <w:t>interfering</w:t>
      </w:r>
      <w:r>
        <w:rPr>
          <w:b w:val="0"/>
          <w:i w:val="0"/>
          <w:smallCaps w:val="0"/>
          <w:strike w:val="0"/>
          <w:sz w:val="22"/>
          <w:u w:val="single"/>
        </w:rPr>
        <w:t xml:space="preserve"> effectively </w:t>
      </w:r>
      <w:r>
        <w:rPr>
          <w:b w:val="0"/>
          <w:i w:val="0"/>
          <w:smallCaps w:val="0"/>
          <w:strike w:val="0"/>
          <w:sz w:val="22"/>
          <w:highlight w:val="green"/>
          <w:u w:val="single"/>
        </w:rPr>
        <w:t>with</w:t>
      </w:r>
      <w:r>
        <w:rPr>
          <w:b w:val="0"/>
          <w:i w:val="0"/>
          <w:smallCaps w:val="0"/>
          <w:strike w:val="0"/>
          <w:sz w:val="22"/>
          <w:u w:val="single"/>
        </w:rPr>
        <w:t xml:space="preserve"> the development of personal, social and political </w:t>
      </w:r>
      <w:r>
        <w:rPr>
          <w:b w:val="0"/>
          <w:i w:val="0"/>
          <w:smallCaps w:val="0"/>
          <w:strike w:val="0"/>
          <w:sz w:val="22"/>
          <w:highlight w:val="green"/>
          <w:u w:val="single"/>
        </w:rPr>
        <w:t>identities</w:t>
      </w:r>
      <w:r>
        <w:rPr>
          <w:b w:val="0"/>
          <w:i w:val="0"/>
          <w:smallCaps w:val="0"/>
          <w:strike w:val="0"/>
          <w:sz w:val="14"/>
          <w:u w:val="none"/>
        </w:rPr>
        <w:t xml:space="preserve">. Such concerns appear more plausible in view of the increase of corporate power across online settings, contested between concentrations of copyright-intensive industries and web hosting giants, and following debates over the impacts of laws like the recently introduced EU Directive 2019/790 (Directive on Copyright in the Digital Single Market). </w:t>
      </w:r>
      <w:r>
        <w:rPr>
          <w:b w:val="0"/>
          <w:i w:val="0"/>
          <w:smallCaps w:val="0"/>
          <w:strike w:val="0"/>
          <w:sz w:val="22"/>
          <w:u w:val="single"/>
        </w:rPr>
        <w:t xml:space="preserve">By reviewing </w:t>
      </w:r>
      <w:r>
        <w:rPr>
          <w:b w:val="0"/>
          <w:i w:val="0"/>
          <w:smallCaps w:val="0"/>
          <w:strike w:val="0"/>
          <w:sz w:val="22"/>
          <w:highlight w:val="green"/>
          <w:u w:val="single"/>
        </w:rPr>
        <w:t>copyright law</w:t>
      </w:r>
      <w:r>
        <w:rPr>
          <w:b w:val="0"/>
          <w:i w:val="0"/>
          <w:smallCaps w:val="0"/>
          <w:strike w:val="0"/>
          <w:sz w:val="22"/>
          <w:u w:val="single"/>
        </w:rPr>
        <w:t xml:space="preserve"> developments, this paper </w:t>
      </w:r>
      <w:r>
        <w:rPr>
          <w:b w:val="0"/>
          <w:i w:val="0"/>
          <w:smallCaps w:val="0"/>
          <w:strike w:val="0"/>
          <w:sz w:val="22"/>
          <w:highlight w:val="green"/>
          <w:u w:val="single"/>
        </w:rPr>
        <w:t>reflects on Foucauldian understandings of biopolitics</w:t>
      </w:r>
      <w:r>
        <w:rPr>
          <w:b w:val="0"/>
          <w:i w:val="0"/>
          <w:smallCaps w:val="0"/>
          <w:strike w:val="0"/>
          <w:sz w:val="22"/>
          <w:u w:val="single"/>
        </w:rPr>
        <w:t xml:space="preserve"> and media ecology theoretical interpretations, to comment critically on the regulation of information and online public interaction spaces.</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