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Government usage of what constitutes a trademark through its ability to deny them is an example of the biopolitics the affirmative endorses when promoting the strengthening of trademarks.</w:t>
      </w:r>
    </w:p>
    <w:p>
      <w:pPr>
        <w:spacing w:after="80"/>
      </w:pPr>
      <w:r>
        <w:rPr>
          <w:b/>
          <w:i w:val="0"/>
          <w:smallCaps w:val="0"/>
          <w:strike w:val="0"/>
          <w:sz w:val="26"/>
          <w:u w:val="none"/>
        </w:rPr>
        <w:t>Hull ’19</w:t>
      </w:r>
      <w:r>
        <w:rPr>
          <w:b w:val="0"/>
          <w:i w:val="0"/>
          <w:smallCaps w:val="0"/>
          <w:strike w:val="0"/>
          <w:u w:val="none"/>
        </w:rPr>
        <w:t xml:space="preserve"> (Gordon, is an Associate Professor of Philosophy and Public Policy at the University of North Carolina at Charlotte. He has published numerous articles on contemporary philosophical and political theory, intellectual property, privacy, and the history of philosophy. He is also the author of Hobbes and the Making of Modern Political Thought (2009), “The Biopolitics of Intellectual Property: Regulating Innovation and Personhood in the Information Age”, pg. 119-120 //nw-avis)</w:t>
      </w:r>
    </w:p>
    <w:p>
      <w:pPr>
        <w:spacing w:after="60"/>
      </w:pPr>
      <w:r>
        <w:rPr>
          <w:b w:val="0"/>
          <w:i w:val="0"/>
          <w:smallCaps w:val="0"/>
          <w:strike w:val="0"/>
          <w:sz w:val="16"/>
          <w:u w:val="none"/>
        </w:rPr>
        <w:t xml:space="preserve">Assuming that they are the first to use it in commerce, </w:t>
      </w:r>
      <w:r>
        <w:rPr>
          <w:b/>
          <w:i w:val="0"/>
          <w:smallCaps w:val="0"/>
          <w:strike w:val="0"/>
          <w:sz w:val="22"/>
          <w:highlight w:val="green"/>
          <w:u w:val="single"/>
        </w:rPr>
        <w:t>trademark owners are entitled</w:t>
      </w:r>
      <w:r>
        <w:rPr>
          <w:b/>
          <w:i w:val="0"/>
          <w:smallCaps w:val="0"/>
          <w:strike w:val="0"/>
          <w:sz w:val="22"/>
          <w:u w:val="single"/>
        </w:rPr>
        <w:t xml:space="preserve"> under common law </w:t>
      </w:r>
      <w:r>
        <w:rPr>
          <w:b/>
          <w:i w:val="0"/>
          <w:smallCaps w:val="0"/>
          <w:strike w:val="0"/>
          <w:sz w:val="22"/>
          <w:highlight w:val="green"/>
          <w:u w:val="single"/>
        </w:rPr>
        <w:t>to certain protections</w:t>
      </w:r>
      <w:r>
        <w:rPr>
          <w:b/>
          <w:i w:val="0"/>
          <w:smallCaps w:val="0"/>
          <w:strike w:val="0"/>
          <w:sz w:val="22"/>
          <w:u w:val="single"/>
        </w:rPr>
        <w:t xml:space="preserve"> for their mark</w:t>
      </w:r>
      <w:r>
        <w:rPr>
          <w:b w:val="0"/>
          <w:i w:val="0"/>
          <w:smallCaps w:val="0"/>
          <w:strike w:val="0"/>
          <w:sz w:val="16"/>
          <w:u w:val="none"/>
        </w:rPr>
        <w:t xml:space="preserve">, including exclusive use of it in specific markets. </w:t>
      </w:r>
      <w:r>
        <w:rPr>
          <w:b w:val="0"/>
          <w:i w:val="0"/>
          <w:smallCaps w:val="0"/>
          <w:strike w:val="0"/>
          <w:sz w:val="22"/>
          <w:u w:val="single"/>
        </w:rPr>
        <w:t>There are, however, numerous benefits to federal registration of the mark, such as exclusive rights to the mark across the United States</w:t>
      </w:r>
      <w:r>
        <w:rPr>
          <w:b w:val="0"/>
          <w:i w:val="0"/>
          <w:smallCaps w:val="0"/>
          <w:strike w:val="0"/>
          <w:sz w:val="16"/>
          <w:u w:val="none"/>
        </w:rPr>
        <w:t xml:space="preserve"> (as opposed to one region), as well as several advantages in litigation surrounding it (</w:t>
      </w:r>
      <w:r>
        <w:rPr>
          <w:b w:val="0"/>
          <w:i w:val="0"/>
          <w:smallCaps w:val="0"/>
          <w:strike w:val="0"/>
          <w:sz w:val="16"/>
          <w:u w:val="none"/>
        </w:rPr>
        <w:t>Anten</w:t>
      </w:r>
      <w:r>
        <w:rPr>
          <w:b w:val="0"/>
          <w:i w:val="0"/>
          <w:smallCaps w:val="0"/>
          <w:strike w:val="0"/>
          <w:sz w:val="16"/>
          <w:u w:val="none"/>
        </w:rPr>
        <w:t xml:space="preserve">, 2006, pp. 396–398). </w:t>
      </w:r>
      <w:r>
        <w:rPr>
          <w:b w:val="0"/>
          <w:i w:val="0"/>
          <w:smallCaps w:val="0"/>
          <w:strike w:val="0"/>
          <w:sz w:val="22"/>
          <w:highlight w:val="green"/>
          <w:u w:val="single"/>
        </w:rPr>
        <w:t>Registration is meant to be</w:t>
      </w:r>
      <w:r>
        <w:rPr>
          <w:b w:val="0"/>
          <w:i w:val="0"/>
          <w:smallCaps w:val="0"/>
          <w:strike w:val="0"/>
          <w:sz w:val="22"/>
          <w:u w:val="single"/>
        </w:rPr>
        <w:t xml:space="preserve"> a fairly </w:t>
      </w:r>
      <w:r>
        <w:rPr>
          <w:b w:val="0"/>
          <w:i w:val="0"/>
          <w:smallCaps w:val="0"/>
          <w:strike w:val="0"/>
          <w:sz w:val="22"/>
          <w:highlight w:val="green"/>
          <w:u w:val="single"/>
        </w:rPr>
        <w:t>automatic</w:t>
      </w:r>
      <w:r>
        <w:rPr>
          <w:b w:val="0"/>
          <w:i w:val="0"/>
          <w:smallCaps w:val="0"/>
          <w:strike w:val="0"/>
          <w:sz w:val="22"/>
          <w:u w:val="single"/>
        </w:rPr>
        <w:t xml:space="preserve"> process; most of the hurdles are procedural.</w:t>
      </w:r>
      <w:r>
        <w:rPr>
          <w:b w:val="0"/>
          <w:i w:val="0"/>
          <w:smallCaps w:val="0"/>
          <w:strike w:val="0"/>
          <w:sz w:val="16"/>
          <w:u w:val="none"/>
        </w:rPr>
        <w:t xml:space="preserve"> </w:t>
      </w:r>
      <w:r>
        <w:rPr>
          <w:b/>
          <w:i w:val="0"/>
          <w:smallCaps w:val="0"/>
          <w:strike w:val="0"/>
          <w:sz w:val="22"/>
          <w:u w:val="single"/>
        </w:rPr>
        <w:t xml:space="preserve">The substantive </w:t>
      </w:r>
      <w:r>
        <w:rPr>
          <w:b/>
          <w:i w:val="0"/>
          <w:smallCaps w:val="0"/>
          <w:strike w:val="0"/>
          <w:sz w:val="22"/>
          <w:highlight w:val="green"/>
          <w:u w:val="single"/>
        </w:rPr>
        <w:t>hurdles are found</w:t>
      </w:r>
      <w:r>
        <w:rPr>
          <w:b/>
          <w:i w:val="0"/>
          <w:smallCaps w:val="0"/>
          <w:strike w:val="0"/>
          <w:sz w:val="22"/>
          <w:u w:val="single"/>
        </w:rPr>
        <w:t xml:space="preserve"> in Section 2 of the Lanham</w:t>
      </w:r>
      <w:r>
        <w:rPr>
          <w:b w:val="0"/>
          <w:i w:val="0"/>
          <w:smallCaps w:val="0"/>
          <w:strike w:val="0"/>
          <w:sz w:val="16"/>
          <w:u w:val="none"/>
        </w:rPr>
        <w:t xml:space="preserve"> Act, and include, for example, </w:t>
      </w:r>
      <w:r>
        <w:rPr>
          <w:b w:val="0"/>
          <w:i w:val="0"/>
          <w:smallCaps w:val="0"/>
          <w:strike w:val="0"/>
          <w:sz w:val="22"/>
          <w:highlight w:val="green"/>
          <w:u w:val="single"/>
        </w:rPr>
        <w:t>bans on trademarking</w:t>
      </w:r>
      <w:r>
        <w:rPr>
          <w:b w:val="0"/>
          <w:i w:val="0"/>
          <w:smallCaps w:val="0"/>
          <w:strike w:val="0"/>
          <w:sz w:val="22"/>
          <w:u w:val="single"/>
        </w:rPr>
        <w:t xml:space="preserve"> official </w:t>
      </w:r>
      <w:r>
        <w:rPr>
          <w:b w:val="0"/>
          <w:i w:val="0"/>
          <w:smallCaps w:val="0"/>
          <w:strike w:val="0"/>
          <w:sz w:val="22"/>
          <w:highlight w:val="green"/>
          <w:u w:val="single"/>
        </w:rPr>
        <w:t>insignia</w:t>
      </w:r>
      <w:r>
        <w:rPr>
          <w:b w:val="0"/>
          <w:i w:val="0"/>
          <w:smallCaps w:val="0"/>
          <w:strike w:val="0"/>
          <w:sz w:val="22"/>
          <w:u w:val="single"/>
        </w:rPr>
        <w:t xml:space="preserve"> of governmental entities or the identifying name, signature, or portrait of a living person without their consent. The statute also </w:t>
      </w:r>
      <w:r>
        <w:rPr>
          <w:b w:val="0"/>
          <w:i w:val="0"/>
          <w:smallCaps w:val="0"/>
          <w:strike w:val="0"/>
          <w:sz w:val="22"/>
          <w:highlight w:val="green"/>
          <w:u w:val="single"/>
        </w:rPr>
        <w:t>prohibits registration</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a mark that: Consists of or comprises </w:t>
      </w:r>
      <w:r>
        <w:rPr>
          <w:b w:val="0"/>
          <w:i w:val="0"/>
          <w:smallCaps w:val="0"/>
          <w:strike w:val="0"/>
          <w:sz w:val="22"/>
          <w:highlight w:val="green"/>
          <w:u w:val="single"/>
        </w:rPr>
        <w:t>immoral</w:t>
      </w:r>
      <w:r>
        <w:rPr>
          <w:b w:val="0"/>
          <w:i w:val="0"/>
          <w:smallCaps w:val="0"/>
          <w:strike w:val="0"/>
          <w:sz w:val="22"/>
          <w:u w:val="single"/>
        </w:rPr>
        <w:t xml:space="preserve">, </w:t>
      </w:r>
      <w:r>
        <w:rPr>
          <w:b w:val="0"/>
          <w:i w:val="0"/>
          <w:smallCaps w:val="0"/>
          <w:strike w:val="0"/>
          <w:sz w:val="22"/>
          <w:highlight w:val="green"/>
          <w:u w:val="single"/>
        </w:rPr>
        <w:t>deceptive</w:t>
      </w:r>
      <w:r>
        <w:rPr>
          <w:b w:val="0"/>
          <w:i w:val="0"/>
          <w:smallCaps w:val="0"/>
          <w:strike w:val="0"/>
          <w:sz w:val="22"/>
          <w:u w:val="single"/>
        </w:rPr>
        <w:t xml:space="preserve">, or scandalous matter; </w:t>
      </w:r>
      <w:r>
        <w:rPr>
          <w:b w:val="0"/>
          <w:i w:val="0"/>
          <w:smallCaps w:val="0"/>
          <w:strike w:val="0"/>
          <w:sz w:val="22"/>
          <w:highlight w:val="green"/>
          <w:u w:val="single"/>
        </w:rPr>
        <w:t>or</w:t>
      </w:r>
      <w:r>
        <w:rPr>
          <w:b w:val="0"/>
          <w:i w:val="0"/>
          <w:smallCaps w:val="0"/>
          <w:strike w:val="0"/>
          <w:sz w:val="22"/>
          <w:u w:val="single"/>
        </w:rPr>
        <w:t xml:space="preserve"> </w:t>
      </w:r>
      <w:r>
        <w:rPr>
          <w:b w:val="0"/>
          <w:i w:val="0"/>
          <w:smallCaps w:val="0"/>
          <w:strike w:val="0"/>
          <w:sz w:val="22"/>
          <w:highlight w:val="green"/>
          <w:u w:val="single"/>
        </w:rPr>
        <w:t>matter which may disparage</w:t>
      </w:r>
      <w:r>
        <w:rPr>
          <w:b w:val="0"/>
          <w:i w:val="0"/>
          <w:smallCaps w:val="0"/>
          <w:strike w:val="0"/>
          <w:sz w:val="22"/>
          <w:u w:val="single"/>
        </w:rPr>
        <w:t xml:space="preserve"> or falsely suggest a connection with persons, living or dead,</w:t>
      </w:r>
      <w:r>
        <w:rPr>
          <w:b w:val="0"/>
          <w:i w:val="0"/>
          <w:smallCaps w:val="0"/>
          <w:strike w:val="0"/>
          <w:sz w:val="16"/>
          <w:u w:val="none"/>
        </w:rPr>
        <w:t xml:space="preserve"> </w:t>
      </w:r>
      <w:r>
        <w:rPr>
          <w:b w:val="0"/>
          <w:i w:val="0"/>
          <w:smallCaps w:val="0"/>
          <w:strike w:val="0"/>
          <w:sz w:val="22"/>
          <w:u w:val="single"/>
        </w:rPr>
        <w:t>institutions, beliefs, or national symbols, or bring them into contempt, or disrepute.</w:t>
      </w:r>
      <w:r>
        <w:rPr>
          <w:b w:val="0"/>
          <w:i w:val="0"/>
          <w:smallCaps w:val="0"/>
          <w:strike w:val="0"/>
          <w:sz w:val="16"/>
          <w:u w:val="none"/>
        </w:rPr>
        <w:t xml:space="preserve"> (15 USC 1052(a)) </w:t>
      </w:r>
      <w:r>
        <w:rPr>
          <w:b/>
          <w:i w:val="0"/>
          <w:smallCaps w:val="0"/>
          <w:strike w:val="0"/>
          <w:sz w:val="22"/>
          <w:highlight w:val="green"/>
          <w:u w:val="single"/>
        </w:rPr>
        <w:t>In denying registration</w:t>
      </w:r>
      <w:r>
        <w:rPr>
          <w:b/>
          <w:i w:val="0"/>
          <w:smallCaps w:val="0"/>
          <w:strike w:val="0"/>
          <w:sz w:val="22"/>
          <w:u w:val="single"/>
        </w:rPr>
        <w:t xml:space="preserve"> to scandalous or disparaging material, the </w:t>
      </w:r>
      <w:r>
        <w:rPr>
          <w:b/>
          <w:i w:val="0"/>
          <w:smallCaps w:val="0"/>
          <w:strike w:val="0"/>
          <w:sz w:val="22"/>
          <w:highlight w:val="green"/>
          <w:u w:val="single"/>
        </w:rPr>
        <w:t>Lanham</w:t>
      </w:r>
      <w:r>
        <w:rPr>
          <w:b/>
          <w:i w:val="0"/>
          <w:smallCaps w:val="0"/>
          <w:strike w:val="0"/>
          <w:sz w:val="22"/>
          <w:u w:val="single"/>
        </w:rPr>
        <w:t xml:space="preserve"> Act </w:t>
      </w:r>
      <w:r>
        <w:rPr>
          <w:b/>
          <w:i w:val="0"/>
          <w:smallCaps w:val="0"/>
          <w:strike w:val="0"/>
          <w:sz w:val="22"/>
          <w:highlight w:val="green"/>
          <w:u w:val="single"/>
        </w:rPr>
        <w:t>evidences</w:t>
      </w:r>
      <w:r>
        <w:rPr>
          <w:b/>
          <w:i w:val="0"/>
          <w:smallCaps w:val="0"/>
          <w:strike w:val="0"/>
          <w:sz w:val="22"/>
          <w:u w:val="single"/>
        </w:rPr>
        <w:t xml:space="preserve"> a sense of public </w:t>
      </w:r>
      <w:r>
        <w:rPr>
          <w:b/>
          <w:i w:val="0"/>
          <w:smallCaps w:val="0"/>
          <w:strike w:val="0"/>
          <w:sz w:val="22"/>
          <w:highlight w:val="green"/>
          <w:u w:val="single"/>
        </w:rPr>
        <w:t>biopolitics</w:t>
      </w:r>
      <w:r>
        <w:rPr>
          <w:b/>
          <w:i w:val="0"/>
          <w:smallCaps w:val="0"/>
          <w:strike w:val="0"/>
          <w:sz w:val="22"/>
          <w:u w:val="single"/>
        </w:rPr>
        <w:t>.</w:t>
      </w:r>
      <w:r>
        <w:rPr>
          <w:b w:val="0"/>
          <w:i w:val="0"/>
          <w:smallCaps w:val="0"/>
          <w:strike w:val="0"/>
          <w:sz w:val="16"/>
          <w:u w:val="none"/>
        </w:rPr>
        <w:t xml:space="preserve"> </w:t>
      </w:r>
      <w:r>
        <w:rPr>
          <w:b w:val="0"/>
          <w:i w:val="0"/>
          <w:smallCaps w:val="0"/>
          <w:strike w:val="0"/>
          <w:sz w:val="22"/>
          <w:highlight w:val="green"/>
          <w:u w:val="single"/>
        </w:rPr>
        <w:t>Independently of</w:t>
      </w:r>
      <w:r>
        <w:rPr>
          <w:b w:val="0"/>
          <w:i w:val="0"/>
          <w:smallCaps w:val="0"/>
          <w:strike w:val="0"/>
          <w:sz w:val="22"/>
          <w:u w:val="single"/>
        </w:rPr>
        <w:t xml:space="preserve"> its viability in </w:t>
      </w:r>
      <w:r>
        <w:rPr>
          <w:b w:val="0"/>
          <w:i w:val="0"/>
          <w:smallCaps w:val="0"/>
          <w:strike w:val="0"/>
          <w:sz w:val="22"/>
          <w:highlight w:val="green"/>
          <w:u w:val="single"/>
        </w:rPr>
        <w:t>commerce</w:t>
      </w:r>
      <w:r>
        <w:rPr>
          <w:b w:val="0"/>
          <w:i w:val="0"/>
          <w:smallCaps w:val="0"/>
          <w:strike w:val="0"/>
          <w:sz w:val="22"/>
          <w:u w:val="single"/>
        </w:rPr>
        <w:t xml:space="preserve">, </w:t>
      </w:r>
      <w:r>
        <w:rPr>
          <w:b w:val="0"/>
          <w:i w:val="0"/>
          <w:smallCaps w:val="0"/>
          <w:strike w:val="0"/>
          <w:sz w:val="22"/>
          <w:highlight w:val="green"/>
          <w:u w:val="single"/>
        </w:rPr>
        <w:t>putting governmental imprimatur on a</w:t>
      </w:r>
      <w:r>
        <w:rPr>
          <w:b w:val="0"/>
          <w:i w:val="0"/>
          <w:smallCaps w:val="0"/>
          <w:strike w:val="0"/>
          <w:sz w:val="22"/>
          <w:u w:val="single"/>
        </w:rPr>
        <w:t xml:space="preserve"> scandalous or disparaging </w:t>
      </w:r>
      <w:r>
        <w:rPr>
          <w:b w:val="0"/>
          <w:i w:val="0"/>
          <w:smallCaps w:val="0"/>
          <w:strike w:val="0"/>
          <w:sz w:val="22"/>
          <w:highlight w:val="green"/>
          <w:u w:val="single"/>
        </w:rPr>
        <w:t>mark is viewed as bad for the polity</w:t>
      </w:r>
      <w:r>
        <w:rPr>
          <w:b w:val="0"/>
          <w:i w:val="0"/>
          <w:smallCaps w:val="0"/>
          <w:strike w:val="0"/>
          <w:sz w:val="16"/>
          <w:u w:val="none"/>
        </w:rPr>
        <w:t xml:space="preserve">. In the case of disparaging marks, the idea is that the use of the mark would be damaging to those targeted by the mark in question. </w:t>
      </w:r>
      <w:r>
        <w:rPr>
          <w:b/>
          <w:i w:val="0"/>
          <w:smallCaps w:val="0"/>
          <w:strike w:val="0"/>
          <w:sz w:val="22"/>
          <w:highlight w:val="green"/>
          <w:u w:val="single"/>
        </w:rPr>
        <w:t>The First Amendment means that the government cannot stop such use</w:t>
      </w:r>
      <w:r>
        <w:rPr>
          <w:b/>
          <w:i w:val="0"/>
          <w:smallCaps w:val="0"/>
          <w:strike w:val="0"/>
          <w:sz w:val="22"/>
          <w:u w:val="single"/>
        </w:rPr>
        <w:t xml:space="preserve">, but it is also not required to reward it in commerce with the benefits of trademark registration, </w:t>
      </w:r>
      <w:r>
        <w:rPr>
          <w:b/>
          <w:i w:val="0"/>
          <w:smallCaps w:val="0"/>
          <w:strike w:val="0"/>
          <w:sz w:val="22"/>
          <w:highlight w:val="green"/>
          <w:u w:val="single"/>
        </w:rPr>
        <w:t>and so the policy explicitly values a vision of civil discourse over commercial benefit</w:t>
      </w:r>
      <w:r>
        <w:rPr>
          <w:b/>
          <w:i w:val="0"/>
          <w:smallCaps w:val="0"/>
          <w:strike w:val="0"/>
          <w:sz w:val="22"/>
          <w:u w:val="single"/>
        </w:rPr>
        <w:t>.</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