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Turns disease</w:t>
      </w:r>
      <w:r>
        <w:rPr>
          <w:b/>
          <w:i w:val="0"/>
          <w:smallCaps w:val="0"/>
          <w:strike w:val="0"/>
          <w:sz w:val="26"/>
          <w:u w:val="none"/>
        </w:rPr>
        <w:t xml:space="preserve"> – the Global North perpetuates the “coloniality of power” and brackets out non-western forms of medicine – that makes a global health crisis </w:t>
      </w:r>
      <w:r>
        <w:rPr>
          <w:b/>
          <w:i w:val="0"/>
          <w:smallCaps w:val="0"/>
          <w:strike w:val="0"/>
          <w:sz w:val="26"/>
          <w:u w:val="single"/>
        </w:rPr>
        <w:t>inevitable</w:t>
      </w:r>
      <w:r>
        <w:rPr>
          <w:b/>
          <w:i w:val="0"/>
          <w:smallCaps w:val="0"/>
          <w:strike w:val="0"/>
          <w:sz w:val="26"/>
          <w:u w:val="none"/>
        </w:rPr>
        <w:t xml:space="preserve"> because a</w:t>
      </w:r>
      <w:r>
        <w:rPr>
          <w:b/>
          <w:i w:val="0"/>
          <w:smallCaps w:val="0"/>
          <w:strike w:val="0"/>
          <w:sz w:val="26"/>
          <w:u w:val="none"/>
        </w:rPr>
        <w:t xml:space="preserve"> technological </w:t>
      </w:r>
      <w:r>
        <w:rPr>
          <w:b/>
          <w:i w:val="0"/>
          <w:smallCaps w:val="0"/>
          <w:strike w:val="0"/>
          <w:sz w:val="26"/>
          <w:u w:val="none"/>
        </w:rPr>
        <w:t xml:space="preserve">focus cannot </w:t>
      </w:r>
      <w:r>
        <w:rPr>
          <w:b/>
          <w:i w:val="0"/>
          <w:smallCaps w:val="0"/>
          <w:strike w:val="0"/>
          <w:sz w:val="26"/>
          <w:u w:val="none"/>
        </w:rPr>
        <w:t>solve for</w:t>
      </w:r>
      <w:r>
        <w:rPr>
          <w:b/>
          <w:i w:val="0"/>
          <w:smallCaps w:val="0"/>
          <w:strike w:val="0"/>
          <w:sz w:val="26"/>
          <w:u w:val="none"/>
        </w:rPr>
        <w:t xml:space="preserve"> </w:t>
      </w:r>
      <w:r>
        <w:rPr>
          <w:b/>
          <w:i w:val="0"/>
          <w:smallCaps w:val="0"/>
          <w:strike w:val="0"/>
          <w:sz w:val="26"/>
          <w:u w:val="single"/>
        </w:rPr>
        <w:t>collective health</w:t>
      </w:r>
      <w:r>
        <w:rPr>
          <w:b/>
          <w:i w:val="0"/>
          <w:smallCaps w:val="0"/>
          <w:strike w:val="0"/>
          <w:sz w:val="26"/>
          <w:u w:val="none"/>
        </w:rPr>
        <w:t>.</w:t>
      </w:r>
    </w:p>
    <w:p>
      <w:pPr>
        <w:spacing w:after="80"/>
      </w:pPr>
      <w:r>
        <w:rPr>
          <w:b/>
          <w:i w:val="0"/>
          <w:smallCaps w:val="0"/>
          <w:strike w:val="0"/>
          <w:sz w:val="26"/>
          <w:u w:val="none"/>
        </w:rPr>
        <w:t>Perez-Brumer et al.</w:t>
      </w:r>
      <w:r>
        <w:rPr>
          <w:b/>
          <w:i w:val="0"/>
          <w:smallCaps w:val="0"/>
          <w:strike w:val="0"/>
          <w:sz w:val="26"/>
          <w:u w:val="none"/>
        </w:rPr>
        <w:t xml:space="preserve"> 24</w:t>
      </w:r>
      <w:r>
        <w:rPr>
          <w:b/>
          <w:i w:val="0"/>
          <w:smallCaps w:val="0"/>
          <w:strike w:val="0"/>
          <w:sz w:val="26"/>
          <w:u w:val="none"/>
        </w:rPr>
        <w:t xml:space="preserve"> </w:t>
      </w:r>
      <w:r>
        <w:rPr>
          <w:b w:val="0"/>
          <w:i w:val="0"/>
          <w:smallCaps w:val="0"/>
          <w:strike w:val="0"/>
          <w:sz w:val="18"/>
          <w:u w:val="none"/>
        </w:rPr>
        <w:t xml:space="preserve">[Amaya Perez-Brumer is a critical global health scholar, the Assistant Professor in the Division of Social and Behavioural Health Science at the University of Toronto, and a Canadian Institutes of Health Research Canada Research Chair in Global Health Intervention Justice. </w:t>
      </w:r>
      <w:r>
        <w:rPr>
          <w:b w:val="0"/>
          <w:i w:val="0"/>
          <w:smallCaps w:val="0"/>
          <w:strike w:val="0"/>
          <w:sz w:val="18"/>
          <w:u w:val="none"/>
        </w:rPr>
        <w:t xml:space="preserve">David Hill is a candidate for a Doctor of Philosophy at University of Toronto. He has a PhD in public health, an MSc in Global Health, and a Bachelor of Health Sciences. </w:t>
      </w:r>
      <w:r>
        <w:rPr>
          <w:b w:val="0"/>
          <w:i w:val="0"/>
          <w:smallCaps w:val="0"/>
          <w:strike w:val="0"/>
          <w:sz w:val="18"/>
          <w:u w:val="none"/>
        </w:rPr>
        <w:t>Richard Parker</w:t>
      </w:r>
      <w:r>
        <w:rPr>
          <w:b w:val="0"/>
          <w:i w:val="0"/>
          <w:smallCaps w:val="0"/>
          <w:strike w:val="0"/>
          <w:sz w:val="18"/>
          <w:u w:val="none"/>
        </w:rPr>
        <w:t xml:space="preserve"> </w:t>
      </w:r>
      <w:r>
        <w:rPr>
          <w:b w:val="0"/>
          <w:i w:val="0"/>
          <w:smallCaps w:val="0"/>
          <w:strike w:val="0"/>
          <w:sz w:val="18"/>
          <w:u w:val="none"/>
        </w:rPr>
        <w:t xml:space="preserve">is Special Research Scientist in the Department of Sociomedical Sciences in the Mailman School of Public Health at Columbia </w:t>
      </w:r>
      <w:r>
        <w:rPr>
          <w:b w:val="0"/>
          <w:i w:val="0"/>
          <w:smallCaps w:val="0"/>
          <w:strike w:val="0"/>
          <w:sz w:val="18"/>
          <w:u w:val="none"/>
        </w:rPr>
        <w:t>University,</w:t>
      </w:r>
      <w:r>
        <w:rPr>
          <w:b w:val="0"/>
          <w:i w:val="0"/>
          <w:smallCaps w:val="0"/>
          <w:strike w:val="0"/>
          <w:sz w:val="18"/>
          <w:u w:val="none"/>
        </w:rPr>
        <w:t xml:space="preserve"> </w:t>
      </w:r>
      <w:r>
        <w:rPr>
          <w:b w:val="0"/>
          <w:i w:val="0"/>
          <w:smallCaps w:val="0"/>
          <w:strike w:val="0"/>
          <w:sz w:val="18"/>
          <w:u w:val="none"/>
        </w:rPr>
        <w:t>and</w:t>
      </w:r>
      <w:r>
        <w:rPr>
          <w:b w:val="0"/>
          <w:i w:val="0"/>
          <w:smallCaps w:val="0"/>
          <w:strike w:val="0"/>
          <w:sz w:val="18"/>
          <w:u w:val="none"/>
        </w:rPr>
        <w:t xml:space="preserve"> President of the Brazilian Interdisciplinary AIDS Association (ABIA) in Rio de Janeiro.</w:t>
      </w:r>
      <w:r>
        <w:rPr>
          <w:b w:val="0"/>
          <w:i w:val="0"/>
          <w:smallCaps w:val="0"/>
          <w:strike w:val="0"/>
          <w:sz w:val="18"/>
          <w:u w:val="none"/>
        </w:rPr>
        <w:t xml:space="preserve"> He is on the editorial board of multiple scholarly journals. </w:t>
      </w:r>
      <w:r>
        <w:rPr>
          <w:b w:val="0"/>
          <w:i w:val="0"/>
          <w:smallCaps w:val="0"/>
          <w:strike w:val="0"/>
          <w:sz w:val="18"/>
          <w:u w:val="none"/>
        </w:rPr>
        <w:t xml:space="preserve">“Latin America at the margins? Implications of the geographic and epistemic narrowing of ‘global’ health.” Global Public Health: An International Journal for Research, Policy, and Practice. </w:t>
      </w:r>
      <w:r>
        <w:rPr>
          <w:b w:val="0"/>
          <w:i w:val="0"/>
          <w:smallCaps w:val="0"/>
          <w:strike w:val="0"/>
          <w:sz w:val="18"/>
          <w:u w:val="none"/>
        </w:rPr>
        <w:t>https://www.tandfonline.com/doi/pdf/10.1080/17441692.2023.2295443</w:t>
      </w:r>
      <w:r>
        <w:rPr>
          <w:b w:val="0"/>
          <w:i w:val="0"/>
          <w:smallCaps w:val="0"/>
          <w:strike w:val="0"/>
          <w:sz w:val="18"/>
          <w:u w:val="none"/>
        </w:rPr>
        <w:t>]//ahuero</w:t>
      </w:r>
    </w:p>
    <w:p>
      <w:pPr>
        <w:spacing w:after="60"/>
      </w:pPr>
      <w:r>
        <w:rPr>
          <w:b w:val="0"/>
          <w:i w:val="0"/>
          <w:smallCaps w:val="0"/>
          <w:strike w:val="0"/>
          <w:sz w:val="14"/>
          <w:u w:val="none"/>
        </w:rPr>
        <w:t xml:space="preserve">Our case study of Latin America’s place in </w:t>
      </w:r>
      <w:r>
        <w:rPr>
          <w:b w:val="0"/>
          <w:i w:val="0"/>
          <w:smallCaps w:val="0"/>
          <w:strike w:val="0"/>
          <w:sz w:val="22"/>
          <w:u w:val="single"/>
        </w:rPr>
        <w:t>global health</w:t>
      </w:r>
      <w:r>
        <w:rPr>
          <w:b w:val="0"/>
          <w:i w:val="0"/>
          <w:smallCaps w:val="0"/>
          <w:strike w:val="0"/>
          <w:sz w:val="14"/>
          <w:u w:val="none"/>
        </w:rPr>
        <w:t xml:space="preserve"> as it developed over the past three to four decades demonstrates that the field’s </w:t>
      </w:r>
      <w:r>
        <w:rPr>
          <w:b w:val="0"/>
          <w:i w:val="0"/>
          <w:smallCaps w:val="0"/>
          <w:strike w:val="0"/>
          <w:sz w:val="22"/>
          <w:u w:val="single"/>
        </w:rPr>
        <w:t>conceptualisation</w:t>
      </w:r>
      <w:r>
        <w:rPr>
          <w:b w:val="0"/>
          <w:i w:val="0"/>
          <w:smallCaps w:val="0"/>
          <w:strike w:val="0"/>
          <w:sz w:val="22"/>
          <w:u w:val="single"/>
        </w:rPr>
        <w:t xml:space="preserve"> of the ‘global’ is much more limited than the word indicates. It suggests that the definition of what ‘counts’ as the domain of global health – </w:t>
      </w:r>
      <w:r>
        <w:rPr>
          <w:b/>
          <w:i w:val="0"/>
          <w:smallCaps w:val="0"/>
          <w:strike w:val="0"/>
          <w:sz w:val="22"/>
          <w:u w:val="single"/>
        </w:rPr>
        <w:t xml:space="preserve">what is included and </w:t>
      </w:r>
      <w:r>
        <w:rPr>
          <w:b/>
          <w:i w:val="0"/>
          <w:smallCaps w:val="0"/>
          <w:strike w:val="0"/>
          <w:sz w:val="22"/>
          <w:u w:val="single"/>
        </w:rPr>
        <w:t>prioritised</w:t>
      </w:r>
      <w:r>
        <w:rPr>
          <w:b/>
          <w:i w:val="0"/>
          <w:smallCaps w:val="0"/>
          <w:strike w:val="0"/>
          <w:sz w:val="22"/>
          <w:u w:val="single"/>
        </w:rPr>
        <w:t xml:space="preserve">, and what is not </w:t>
      </w:r>
      <w:r>
        <w:rPr>
          <w:b w:val="0"/>
          <w:i w:val="0"/>
          <w:smallCaps w:val="0"/>
          <w:strike w:val="0"/>
          <w:sz w:val="22"/>
          <w:u w:val="single"/>
        </w:rPr>
        <w:t>– has changed over time in largely unexamined ways.</w:t>
      </w:r>
      <w:r>
        <w:rPr>
          <w:b w:val="0"/>
          <w:i w:val="0"/>
          <w:smallCaps w:val="0"/>
          <w:strike w:val="0"/>
          <w:sz w:val="14"/>
          <w:u w:val="none"/>
        </w:rPr>
        <w:t xml:space="preserve"> We argue that the </w:t>
      </w:r>
      <w:r>
        <w:rPr>
          <w:b w:val="0"/>
          <w:i w:val="0"/>
          <w:smallCaps w:val="0"/>
          <w:strike w:val="0"/>
          <w:sz w:val="22"/>
          <w:u w:val="single"/>
        </w:rPr>
        <w:t>political dimensions and consequences</w:t>
      </w:r>
      <w:r>
        <w:rPr>
          <w:b w:val="0"/>
          <w:i w:val="0"/>
          <w:smallCaps w:val="0"/>
          <w:strike w:val="0"/>
          <w:sz w:val="14"/>
          <w:u w:val="none"/>
        </w:rPr>
        <w:t xml:space="preserve"> of these changes </w:t>
      </w:r>
      <w:r>
        <w:rPr>
          <w:b w:val="0"/>
          <w:i w:val="0"/>
          <w:smallCaps w:val="0"/>
          <w:strike w:val="0"/>
          <w:sz w:val="22"/>
          <w:u w:val="single"/>
        </w:rPr>
        <w:t>exhibit the need for more sustained critical analysis of how the field of global health has developed over time.</w:t>
      </w:r>
    </w:p>
    <w:p>
      <w:pPr>
        <w:spacing w:after="60"/>
      </w:pPr>
      <w:r>
        <w:rPr>
          <w:b w:val="0"/>
          <w:i w:val="0"/>
          <w:smallCaps w:val="0"/>
          <w:strike w:val="0"/>
          <w:sz w:val="14"/>
          <w:u w:val="none"/>
        </w:rPr>
        <w:t xml:space="preserve">As the research that does address this topic reveals, the transition from what was previously described as ‘international health’ to what today is known as ‘global health’ began to take shape in the 1980s, deepened significantly during the 1990s, and became more clearly consolidated in the 2000s and 2010s (Macfarlane et al., 2008; Packard, 2016). </w:t>
      </w:r>
      <w:r>
        <w:rPr>
          <w:b w:val="0"/>
          <w:i w:val="0"/>
          <w:smallCaps w:val="0"/>
          <w:strike w:val="0"/>
          <w:sz w:val="22"/>
          <w:u w:val="single"/>
        </w:rPr>
        <w:t>Latin America’s approach to public health research and practice</w:t>
      </w:r>
      <w:r>
        <w:rPr>
          <w:b w:val="0"/>
          <w:i w:val="0"/>
          <w:smallCaps w:val="0"/>
          <w:strike w:val="0"/>
          <w:sz w:val="14"/>
          <w:u w:val="none"/>
        </w:rPr>
        <w:t xml:space="preserve"> </w:t>
      </w:r>
      <w:r>
        <w:rPr>
          <w:b w:val="0"/>
          <w:i w:val="0"/>
          <w:smallCaps w:val="0"/>
          <w:strike w:val="0"/>
          <w:sz w:val="22"/>
          <w:u w:val="single"/>
        </w:rPr>
        <w:t xml:space="preserve">made significant contributions to the emergence of global health during the 1980s and 1990s, especially in </w:t>
      </w:r>
      <w:r>
        <w:rPr>
          <w:b w:val="0"/>
          <w:i w:val="0"/>
          <w:smallCaps w:val="0"/>
          <w:strike w:val="0"/>
          <w:sz w:val="22"/>
          <w:u w:val="single"/>
        </w:rPr>
        <w:t>emphasising</w:t>
      </w:r>
      <w:r>
        <w:rPr>
          <w:b w:val="0"/>
          <w:i w:val="0"/>
          <w:smallCaps w:val="0"/>
          <w:strike w:val="0"/>
          <w:sz w:val="22"/>
          <w:u w:val="single"/>
        </w:rPr>
        <w:t xml:space="preserve"> the importance of </w:t>
      </w:r>
      <w:r>
        <w:rPr>
          <w:b/>
          <w:i w:val="0"/>
          <w:smallCaps w:val="0"/>
          <w:strike w:val="0"/>
          <w:sz w:val="22"/>
          <w:u w:val="single"/>
        </w:rPr>
        <w:t>social epidemiology, social medicine, and</w:t>
      </w:r>
      <w:r>
        <w:rPr>
          <w:b w:val="0"/>
          <w:i w:val="0"/>
          <w:smallCaps w:val="0"/>
          <w:strike w:val="0"/>
          <w:sz w:val="14"/>
          <w:u w:val="none"/>
        </w:rPr>
        <w:t xml:space="preserve"> what came to be known as</w:t>
      </w:r>
      <w:r>
        <w:rPr>
          <w:b w:val="0"/>
          <w:i w:val="0"/>
          <w:smallCaps w:val="0"/>
          <w:strike w:val="0"/>
          <w:sz w:val="22"/>
          <w:u w:val="single"/>
        </w:rPr>
        <w:t xml:space="preserve"> </w:t>
      </w:r>
      <w:r>
        <w:rPr>
          <w:b/>
          <w:i w:val="0"/>
          <w:smallCaps w:val="0"/>
          <w:strike w:val="0"/>
          <w:sz w:val="22"/>
          <w:u w:val="single"/>
        </w:rPr>
        <w:t>‘collective health’</w:t>
      </w:r>
      <w:r>
        <w:rPr>
          <w:b w:val="0"/>
          <w:i w:val="0"/>
          <w:smallCaps w:val="0"/>
          <w:strike w:val="0"/>
          <w:sz w:val="14"/>
          <w:u w:val="none"/>
        </w:rPr>
        <w:t xml:space="preserve"> (Abel, 1996; </w:t>
      </w:r>
      <w:r>
        <w:rPr>
          <w:b w:val="0"/>
          <w:i w:val="0"/>
          <w:smallCaps w:val="0"/>
          <w:strike w:val="0"/>
          <w:sz w:val="14"/>
          <w:u w:val="none"/>
        </w:rPr>
        <w:t>Breilh</w:t>
      </w:r>
      <w:r>
        <w:rPr>
          <w:b w:val="0"/>
          <w:i w:val="0"/>
          <w:smallCaps w:val="0"/>
          <w:strike w:val="0"/>
          <w:sz w:val="14"/>
          <w:u w:val="none"/>
        </w:rPr>
        <w:t xml:space="preserve">, 2021, 2023; Carter, 2019; Lima, 2007; Susser &amp; Myer, 2007; </w:t>
      </w:r>
      <w:r>
        <w:rPr>
          <w:b w:val="0"/>
          <w:i w:val="0"/>
          <w:smallCaps w:val="0"/>
          <w:strike w:val="0"/>
          <w:sz w:val="14"/>
          <w:u w:val="none"/>
        </w:rPr>
        <w:t>Waitzkin</w:t>
      </w:r>
      <w:r>
        <w:rPr>
          <w:b w:val="0"/>
          <w:i w:val="0"/>
          <w:smallCaps w:val="0"/>
          <w:strike w:val="0"/>
          <w:sz w:val="14"/>
          <w:u w:val="none"/>
        </w:rPr>
        <w:t xml:space="preserve"> et al., 2001). These </w:t>
      </w:r>
      <w:r>
        <w:rPr>
          <w:b w:val="0"/>
          <w:i w:val="0"/>
          <w:smallCaps w:val="0"/>
          <w:strike w:val="0"/>
          <w:sz w:val="22"/>
          <w:u w:val="single"/>
        </w:rPr>
        <w:t>traditions were central in shaping</w:t>
      </w:r>
      <w:r>
        <w:rPr>
          <w:b w:val="0"/>
          <w:i w:val="0"/>
          <w:smallCaps w:val="0"/>
          <w:strike w:val="0"/>
          <w:sz w:val="14"/>
          <w:u w:val="none"/>
        </w:rPr>
        <w:t xml:space="preserve"> what were viewed </w:t>
      </w:r>
      <w:r>
        <w:rPr>
          <w:b w:val="0"/>
          <w:i w:val="0"/>
          <w:smallCaps w:val="0"/>
          <w:strike w:val="0"/>
          <w:sz w:val="22"/>
          <w:u w:val="single"/>
        </w:rPr>
        <w:t xml:space="preserve">as </w:t>
      </w:r>
      <w:r>
        <w:rPr>
          <w:b/>
          <w:i w:val="0"/>
          <w:smallCaps w:val="0"/>
          <w:strike w:val="0"/>
          <w:sz w:val="22"/>
          <w:u w:val="single"/>
        </w:rPr>
        <w:t>highly successful</w:t>
      </w:r>
      <w:r>
        <w:rPr>
          <w:b w:val="0"/>
          <w:i w:val="0"/>
          <w:smallCaps w:val="0"/>
          <w:strike w:val="0"/>
          <w:sz w:val="22"/>
          <w:u w:val="single"/>
        </w:rPr>
        <w:t xml:space="preserve"> responses to HIV and AIDS across the region</w:t>
      </w:r>
      <w:r>
        <w:rPr>
          <w:b w:val="0"/>
          <w:i w:val="0"/>
          <w:smallCaps w:val="0"/>
          <w:strike w:val="0"/>
          <w:sz w:val="14"/>
          <w:u w:val="none"/>
        </w:rPr>
        <w:t xml:space="preserve">, as well as in </w:t>
      </w:r>
      <w:r>
        <w:rPr>
          <w:b/>
          <w:i w:val="0"/>
          <w:smallCaps w:val="0"/>
          <w:strike w:val="0"/>
          <w:sz w:val="22"/>
          <w:u w:val="single"/>
        </w:rPr>
        <w:t>promoting access to health</w:t>
      </w:r>
      <w:r>
        <w:rPr>
          <w:b w:val="0"/>
          <w:i w:val="0"/>
          <w:smallCaps w:val="0"/>
          <w:strike w:val="0"/>
          <w:sz w:val="22"/>
          <w:u w:val="single"/>
        </w:rPr>
        <w:t xml:space="preserve"> as a fundamental human right</w:t>
      </w:r>
      <w:r>
        <w:rPr>
          <w:b w:val="0"/>
          <w:i w:val="0"/>
          <w:smallCaps w:val="0"/>
          <w:strike w:val="0"/>
          <w:sz w:val="14"/>
          <w:u w:val="none"/>
        </w:rPr>
        <w:t xml:space="preserve"> (ABIA, 2000; Badilla, 2006; Paiva et al., 2013). </w:t>
      </w:r>
      <w:r>
        <w:rPr>
          <w:b w:val="0"/>
          <w:i w:val="0"/>
          <w:smallCaps w:val="0"/>
          <w:strike w:val="0"/>
          <w:sz w:val="22"/>
          <w:u w:val="single"/>
        </w:rPr>
        <w:t>Latin American policymakers and ambassadors were</w:t>
      </w:r>
      <w:r>
        <w:rPr>
          <w:b w:val="0"/>
          <w:i w:val="0"/>
          <w:smallCaps w:val="0"/>
          <w:strike w:val="0"/>
          <w:sz w:val="14"/>
          <w:u w:val="none"/>
        </w:rPr>
        <w:t xml:space="preserve"> also </w:t>
      </w:r>
      <w:r>
        <w:rPr>
          <w:b w:val="0"/>
          <w:i w:val="0"/>
          <w:smallCaps w:val="0"/>
          <w:strike w:val="0"/>
          <w:sz w:val="22"/>
          <w:u w:val="single"/>
        </w:rPr>
        <w:t>recognised</w:t>
      </w:r>
      <w:r>
        <w:rPr>
          <w:b w:val="0"/>
          <w:i w:val="0"/>
          <w:smallCaps w:val="0"/>
          <w:strike w:val="0"/>
          <w:sz w:val="22"/>
          <w:u w:val="single"/>
        </w:rPr>
        <w:t xml:space="preserve"> for</w:t>
      </w:r>
      <w:r>
        <w:rPr>
          <w:b w:val="0"/>
          <w:i w:val="0"/>
          <w:smallCaps w:val="0"/>
          <w:strike w:val="0"/>
          <w:sz w:val="14"/>
          <w:u w:val="none"/>
        </w:rPr>
        <w:t xml:space="preserve"> key strategic </w:t>
      </w:r>
      <w:r>
        <w:rPr>
          <w:b w:val="0"/>
          <w:i w:val="0"/>
          <w:smallCaps w:val="0"/>
          <w:strike w:val="0"/>
          <w:sz w:val="22"/>
          <w:u w:val="single"/>
        </w:rPr>
        <w:t>contributions to emerging structures and processes of global health</w:t>
      </w:r>
      <w:r>
        <w:rPr>
          <w:b w:val="0"/>
          <w:i w:val="0"/>
          <w:smallCaps w:val="0"/>
          <w:strike w:val="0"/>
          <w:sz w:val="14"/>
          <w:u w:val="none"/>
        </w:rPr>
        <w:t xml:space="preserve"> governance as they developed during the 1990s, with </w:t>
      </w:r>
      <w:r>
        <w:rPr>
          <w:b w:val="0"/>
          <w:i w:val="0"/>
          <w:smallCaps w:val="0"/>
          <w:strike w:val="0"/>
          <w:sz w:val="22"/>
          <w:u w:val="single"/>
        </w:rPr>
        <w:t>active involvement in the changing institutional architecture of the field through intergovernmental agencies</w:t>
      </w:r>
      <w:r>
        <w:rPr>
          <w:b w:val="0"/>
          <w:i w:val="0"/>
          <w:smallCaps w:val="0"/>
          <w:strike w:val="0"/>
          <w:sz w:val="14"/>
          <w:u w:val="none"/>
        </w:rPr>
        <w:t xml:space="preserve"> such as the WHO, the World Bank, UNAIDS, and the WTO (Buss &amp; Tobar, 2017).</w:t>
      </w:r>
    </w:p>
    <w:p>
      <w:pPr>
        <w:spacing w:after="60"/>
      </w:pPr>
      <w:r>
        <w:rPr>
          <w:b w:val="0"/>
          <w:i w:val="0"/>
          <w:smallCaps w:val="0"/>
          <w:strike w:val="0"/>
          <w:sz w:val="14"/>
          <w:u w:val="none"/>
        </w:rPr>
        <w:t xml:space="preserve">As </w:t>
      </w:r>
      <w:r>
        <w:rPr>
          <w:b w:val="0"/>
          <w:i w:val="0"/>
          <w:smallCaps w:val="0"/>
          <w:strike w:val="0"/>
          <w:sz w:val="22"/>
          <w:u w:val="single"/>
        </w:rPr>
        <w:t>the field was shifting from a framework of international to global health</w:t>
      </w:r>
      <w:r>
        <w:rPr>
          <w:b w:val="0"/>
          <w:i w:val="0"/>
          <w:smallCaps w:val="0"/>
          <w:strike w:val="0"/>
          <w:sz w:val="14"/>
          <w:u w:val="none"/>
        </w:rPr>
        <w:t xml:space="preserve"> at the start of the new millennium, </w:t>
      </w:r>
      <w:r>
        <w:rPr>
          <w:b w:val="0"/>
          <w:i w:val="0"/>
          <w:smallCaps w:val="0"/>
          <w:strike w:val="0"/>
          <w:sz w:val="22"/>
          <w:u w:val="single"/>
        </w:rPr>
        <w:t xml:space="preserve">Latin America seemed </w:t>
      </w:r>
      <w:r>
        <w:rPr>
          <w:b/>
          <w:i w:val="0"/>
          <w:smallCaps w:val="0"/>
          <w:strike w:val="0"/>
          <w:sz w:val="22"/>
          <w:u w:val="single"/>
        </w:rPr>
        <w:t>poised to take on a new leadership role</w:t>
      </w:r>
      <w:r>
        <w:rPr>
          <w:b w:val="0"/>
          <w:i w:val="0"/>
          <w:smallCaps w:val="0"/>
          <w:strike w:val="0"/>
          <w:sz w:val="22"/>
          <w:u w:val="single"/>
        </w:rPr>
        <w:t>.</w:t>
      </w:r>
      <w:r>
        <w:rPr>
          <w:b w:val="0"/>
          <w:i w:val="0"/>
          <w:smallCaps w:val="0"/>
          <w:strike w:val="0"/>
          <w:sz w:val="14"/>
          <w:u w:val="none"/>
        </w:rPr>
        <w:t xml:space="preserve"> The region was at the forefront of </w:t>
      </w:r>
      <w:r>
        <w:rPr>
          <w:b w:val="0"/>
          <w:i w:val="0"/>
          <w:smallCaps w:val="0"/>
          <w:strike w:val="0"/>
          <w:sz w:val="22"/>
          <w:u w:val="single"/>
        </w:rPr>
        <w:t>developing an emphasis on South-South collaborations</w:t>
      </w:r>
      <w:r>
        <w:rPr>
          <w:b w:val="0"/>
          <w:i w:val="0"/>
          <w:smallCaps w:val="0"/>
          <w:strike w:val="0"/>
          <w:sz w:val="14"/>
          <w:u w:val="none"/>
        </w:rPr>
        <w:t xml:space="preserve">, and its focus on </w:t>
      </w:r>
      <w:r>
        <w:rPr>
          <w:b w:val="0"/>
          <w:i w:val="0"/>
          <w:smallCaps w:val="0"/>
          <w:strike w:val="0"/>
          <w:sz w:val="22"/>
          <w:u w:val="single"/>
        </w:rPr>
        <w:t>confronting social and economic inequalities offered exciting alternatives to</w:t>
      </w:r>
      <w:r>
        <w:rPr>
          <w:b w:val="0"/>
          <w:i w:val="0"/>
          <w:smallCaps w:val="0"/>
          <w:strike w:val="0"/>
          <w:sz w:val="14"/>
          <w:u w:val="none"/>
        </w:rPr>
        <w:t xml:space="preserve"> the more </w:t>
      </w:r>
      <w:r>
        <w:rPr>
          <w:b w:val="0"/>
          <w:i w:val="0"/>
          <w:smallCaps w:val="0"/>
          <w:strike w:val="0"/>
          <w:sz w:val="22"/>
          <w:u w:val="single"/>
        </w:rPr>
        <w:t>limited frameworks</w:t>
      </w:r>
      <w:r>
        <w:rPr>
          <w:b w:val="0"/>
          <w:i w:val="0"/>
          <w:smallCaps w:val="0"/>
          <w:strike w:val="0"/>
          <w:sz w:val="14"/>
          <w:u w:val="none"/>
        </w:rPr>
        <w:t xml:space="preserve"> that had dominated approaches to worldwide health science and practice during the phases of tropical medicine and international health (</w:t>
      </w:r>
      <w:r>
        <w:rPr>
          <w:b w:val="0"/>
          <w:i w:val="0"/>
          <w:smallCaps w:val="0"/>
          <w:strike w:val="0"/>
          <w:sz w:val="14"/>
          <w:u w:val="none"/>
        </w:rPr>
        <w:t>Birn</w:t>
      </w:r>
      <w:r>
        <w:rPr>
          <w:b w:val="0"/>
          <w:i w:val="0"/>
          <w:smallCaps w:val="0"/>
          <w:strike w:val="0"/>
          <w:sz w:val="14"/>
          <w:u w:val="none"/>
        </w:rPr>
        <w:t xml:space="preserve"> &amp; </w:t>
      </w:r>
      <w:r>
        <w:rPr>
          <w:b w:val="0"/>
          <w:i w:val="0"/>
          <w:smallCaps w:val="0"/>
          <w:strike w:val="0"/>
          <w:sz w:val="14"/>
          <w:u w:val="none"/>
        </w:rPr>
        <w:t>Muntaner</w:t>
      </w:r>
      <w:r>
        <w:rPr>
          <w:b w:val="0"/>
          <w:i w:val="0"/>
          <w:smallCaps w:val="0"/>
          <w:strike w:val="0"/>
          <w:sz w:val="14"/>
          <w:u w:val="none"/>
        </w:rPr>
        <w:t xml:space="preserve">, 2019; Carrillo </w:t>
      </w:r>
      <w:r>
        <w:rPr>
          <w:b w:val="0"/>
          <w:i w:val="0"/>
          <w:smallCaps w:val="0"/>
          <w:strike w:val="0"/>
          <w:sz w:val="14"/>
          <w:u w:val="none"/>
        </w:rPr>
        <w:t>Roa</w:t>
      </w:r>
      <w:r>
        <w:rPr>
          <w:b w:val="0"/>
          <w:i w:val="0"/>
          <w:smallCaps w:val="0"/>
          <w:strike w:val="0"/>
          <w:sz w:val="14"/>
          <w:u w:val="none"/>
        </w:rPr>
        <w:t xml:space="preserve"> &amp; Santana, 2012). </w:t>
      </w:r>
      <w:r>
        <w:rPr>
          <w:b w:val="0"/>
          <w:i w:val="0"/>
          <w:smallCaps w:val="0"/>
          <w:strike w:val="0"/>
          <w:sz w:val="22"/>
          <w:u w:val="single"/>
        </w:rPr>
        <w:t>But despite these potentially transformative contributions</w:t>
      </w:r>
      <w:r>
        <w:rPr>
          <w:b w:val="0"/>
          <w:i w:val="0"/>
          <w:smallCaps w:val="0"/>
          <w:strike w:val="0"/>
          <w:sz w:val="14"/>
          <w:u w:val="none"/>
        </w:rPr>
        <w:t xml:space="preserve">, as the global health ‘boom’ began taking off </w:t>
      </w:r>
      <w:r>
        <w:rPr>
          <w:b w:val="0"/>
          <w:i w:val="0"/>
          <w:smallCaps w:val="0"/>
          <w:strike w:val="0"/>
          <w:sz w:val="22"/>
          <w:u w:val="single"/>
        </w:rPr>
        <w:t xml:space="preserve">in the 2000s, Latin America’s prominence in global health </w:t>
      </w:r>
      <w:r>
        <w:rPr>
          <w:b/>
          <w:i w:val="0"/>
          <w:smallCaps w:val="0"/>
          <w:strike w:val="0"/>
          <w:sz w:val="22"/>
          <w:u w:val="single"/>
        </w:rPr>
        <w:t>interventions, knowledge production, and public health practice</w:t>
      </w:r>
      <w:r>
        <w:rPr>
          <w:b w:val="0"/>
          <w:i w:val="0"/>
          <w:smallCaps w:val="0"/>
          <w:strike w:val="0"/>
          <w:sz w:val="22"/>
          <w:u w:val="single"/>
        </w:rPr>
        <w:t xml:space="preserve"> declined.</w:t>
      </w:r>
      <w:r>
        <w:rPr>
          <w:b w:val="0"/>
          <w:i w:val="0"/>
          <w:smallCaps w:val="0"/>
          <w:strike w:val="0"/>
          <w:sz w:val="14"/>
          <w:u w:val="none"/>
        </w:rPr>
        <w:t xml:space="preserve"> Moreover, changing understandings of ‘global’ worked to steadily diminish the region’s eligibility within the category, with significant consequences for public health.</w:t>
      </w:r>
    </w:p>
    <w:p>
      <w:pPr>
        <w:spacing w:after="60"/>
      </w:pPr>
      <w:r>
        <w:rPr>
          <w:b w:val="0"/>
          <w:i w:val="0"/>
          <w:smallCaps w:val="0"/>
          <w:strike w:val="0"/>
          <w:sz w:val="14"/>
          <w:u w:val="none"/>
        </w:rPr>
        <w:t xml:space="preserve">During the late 2000s and 2010s, </w:t>
      </w:r>
      <w:r>
        <w:rPr>
          <w:b/>
          <w:i w:val="0"/>
          <w:smallCaps w:val="0"/>
          <w:strike w:val="0"/>
          <w:sz w:val="22"/>
          <w:u w:val="single"/>
        </w:rPr>
        <w:t>Latin America was relegated to the margins</w:t>
      </w:r>
      <w:r>
        <w:rPr>
          <w:b w:val="0"/>
          <w:i w:val="0"/>
          <w:smallCaps w:val="0"/>
          <w:strike w:val="0"/>
          <w:sz w:val="22"/>
          <w:u w:val="single"/>
        </w:rPr>
        <w:t xml:space="preserve"> </w:t>
      </w:r>
      <w:r>
        <w:rPr>
          <w:b w:val="0"/>
          <w:i w:val="0"/>
          <w:smallCaps w:val="0"/>
          <w:strike w:val="0"/>
          <w:sz w:val="14"/>
          <w:u w:val="none"/>
        </w:rPr>
        <w:t xml:space="preserve">of the field, as </w:t>
      </w:r>
      <w:r>
        <w:rPr>
          <w:b w:val="0"/>
          <w:i w:val="0"/>
          <w:smallCaps w:val="0"/>
          <w:strike w:val="0"/>
          <w:sz w:val="22"/>
          <w:u w:val="single"/>
        </w:rPr>
        <w:t>largescale</w:t>
      </w:r>
      <w:r>
        <w:rPr>
          <w:b w:val="0"/>
          <w:i w:val="0"/>
          <w:smallCaps w:val="0"/>
          <w:strike w:val="0"/>
          <w:sz w:val="14"/>
          <w:u w:val="none"/>
        </w:rPr>
        <w:t xml:space="preserve"> </w:t>
      </w:r>
      <w:r>
        <w:rPr>
          <w:b w:val="0"/>
          <w:i w:val="0"/>
          <w:smallCaps w:val="0"/>
          <w:strike w:val="0"/>
          <w:sz w:val="22"/>
          <w:u w:val="single"/>
        </w:rPr>
        <w:t>Global Health Initiatives, dominant funders</w:t>
      </w:r>
      <w:r>
        <w:rPr>
          <w:b w:val="0"/>
          <w:i w:val="0"/>
          <w:smallCaps w:val="0"/>
          <w:strike w:val="0"/>
          <w:sz w:val="14"/>
          <w:u w:val="none"/>
        </w:rPr>
        <w:t xml:space="preserve"> such as the BMGF, </w:t>
      </w:r>
      <w:r>
        <w:rPr>
          <w:b w:val="0"/>
          <w:i w:val="0"/>
          <w:smallCaps w:val="0"/>
          <w:strike w:val="0"/>
          <w:sz w:val="22"/>
          <w:u w:val="single"/>
        </w:rPr>
        <w:t>and an emphasis on metrics</w:t>
      </w:r>
      <w:r>
        <w:rPr>
          <w:b w:val="0"/>
          <w:i w:val="0"/>
          <w:smallCaps w:val="0"/>
          <w:strike w:val="0"/>
          <w:sz w:val="14"/>
          <w:u w:val="none"/>
        </w:rPr>
        <w:t xml:space="preserve"> as the primary source of evidence (as promoted by the Institute for Health Metrics and Evaluation, among others) </w:t>
      </w:r>
      <w:r>
        <w:rPr>
          <w:b w:val="0"/>
          <w:i w:val="0"/>
          <w:smallCaps w:val="0"/>
          <w:strike w:val="0"/>
          <w:sz w:val="22"/>
          <w:u w:val="single"/>
        </w:rPr>
        <w:t xml:space="preserve">became hallmarks of the global health era. Funders and donors from the </w:t>
      </w:r>
      <w:r>
        <w:rPr>
          <w:b/>
          <w:i w:val="0"/>
          <w:smallCaps w:val="0"/>
          <w:strike w:val="0"/>
          <w:sz w:val="22"/>
          <w:u w:val="single"/>
        </w:rPr>
        <w:t>global North</w:t>
      </w:r>
      <w:r>
        <w:rPr>
          <w:b w:val="0"/>
          <w:i w:val="0"/>
          <w:smallCaps w:val="0"/>
          <w:strike w:val="0"/>
          <w:sz w:val="22"/>
          <w:u w:val="single"/>
        </w:rPr>
        <w:t>, such as the BMGF and PEPFAR, shifted their priorities to other regions, where the burden of disease was determined to be greater.</w:t>
      </w:r>
      <w:r>
        <w:rPr>
          <w:b w:val="0"/>
          <w:i w:val="0"/>
          <w:smallCaps w:val="0"/>
          <w:strike w:val="0"/>
          <w:sz w:val="14"/>
          <w:u w:val="none"/>
        </w:rPr>
        <w:t xml:space="preserve"> Consequently, Latin American actors’ involvement in the global health assemblage waned, and the approaches to health on a global scale that had </w:t>
      </w:r>
      <w:r>
        <w:rPr>
          <w:b w:val="0"/>
          <w:i w:val="0"/>
          <w:smallCaps w:val="0"/>
          <w:strike w:val="0"/>
          <w:sz w:val="14"/>
          <w:u w:val="none"/>
        </w:rPr>
        <w:t>favoured</w:t>
      </w:r>
      <w:r>
        <w:rPr>
          <w:b w:val="0"/>
          <w:i w:val="0"/>
          <w:smallCaps w:val="0"/>
          <w:strike w:val="0"/>
          <w:sz w:val="14"/>
          <w:u w:val="none"/>
        </w:rPr>
        <w:t xml:space="preserve"> </w:t>
      </w:r>
      <w:r>
        <w:rPr>
          <w:b w:val="0"/>
          <w:i w:val="0"/>
          <w:smallCaps w:val="0"/>
          <w:strike w:val="0"/>
          <w:sz w:val="22"/>
          <w:u w:val="single"/>
        </w:rPr>
        <w:t>‘collective health’</w:t>
      </w:r>
      <w:r>
        <w:rPr>
          <w:b w:val="0"/>
          <w:i w:val="0"/>
          <w:smallCaps w:val="0"/>
          <w:strike w:val="0"/>
          <w:sz w:val="14"/>
          <w:u w:val="none"/>
        </w:rPr>
        <w:t xml:space="preserve"> in the region also </w:t>
      </w:r>
      <w:r>
        <w:rPr>
          <w:b w:val="0"/>
          <w:i w:val="0"/>
          <w:smallCaps w:val="0"/>
          <w:strike w:val="0"/>
          <w:sz w:val="22"/>
          <w:u w:val="single"/>
        </w:rPr>
        <w:t>shifted</w:t>
      </w:r>
      <w:r>
        <w:rPr>
          <w:b w:val="0"/>
          <w:i w:val="0"/>
          <w:smallCaps w:val="0"/>
          <w:strike w:val="0"/>
          <w:sz w:val="14"/>
          <w:u w:val="none"/>
        </w:rPr>
        <w:t xml:space="preserve"> in important ways, </w:t>
      </w:r>
      <w:r>
        <w:rPr>
          <w:b w:val="0"/>
          <w:i w:val="0"/>
          <w:smallCaps w:val="0"/>
          <w:strike w:val="0"/>
          <w:sz w:val="22"/>
          <w:u w:val="single"/>
        </w:rPr>
        <w:t>especially as the ‘pink tide’</w:t>
      </w:r>
      <w:r>
        <w:rPr>
          <w:b w:val="0"/>
          <w:i w:val="0"/>
          <w:smallCaps w:val="0"/>
          <w:strike w:val="0"/>
          <w:sz w:val="14"/>
          <w:u w:val="none"/>
        </w:rPr>
        <w:t xml:space="preserve">, a shift towards progressive policies, social reforms, and a focus on addressing inequality and poverty, </w:t>
      </w:r>
      <w:r>
        <w:rPr>
          <w:b w:val="0"/>
          <w:i w:val="0"/>
          <w:smallCaps w:val="0"/>
          <w:strike w:val="0"/>
          <w:sz w:val="22"/>
          <w:u w:val="single"/>
        </w:rPr>
        <w:t>began to pass</w:t>
      </w:r>
      <w:r>
        <w:rPr>
          <w:b w:val="0"/>
          <w:i w:val="0"/>
          <w:smallCaps w:val="0"/>
          <w:strike w:val="0"/>
          <w:sz w:val="14"/>
          <w:u w:val="none"/>
        </w:rPr>
        <w:t xml:space="preserve"> (Ellner &amp; Santos, 2020; P. H. Smith &amp; Sells, 2017).</w:t>
      </w:r>
    </w:p>
    <w:p>
      <w:pPr>
        <w:spacing w:after="60"/>
      </w:pPr>
      <w:r>
        <w:rPr>
          <w:b w:val="0"/>
          <w:i w:val="0"/>
          <w:smallCaps w:val="0"/>
          <w:strike w:val="0"/>
          <w:sz w:val="14"/>
          <w:u w:val="none"/>
        </w:rPr>
        <w:t xml:space="preserve">In addition, over the course of the </w:t>
      </w:r>
      <w:r>
        <w:rPr>
          <w:b w:val="0"/>
          <w:i w:val="0"/>
          <w:smallCaps w:val="0"/>
          <w:strike w:val="0"/>
          <w:sz w:val="22"/>
          <w:u w:val="single"/>
        </w:rPr>
        <w:t>2010s, political changes at the regional level intersected with those taking place globally</w:t>
      </w:r>
      <w:r>
        <w:rPr>
          <w:b w:val="0"/>
          <w:i w:val="0"/>
          <w:smallCaps w:val="0"/>
          <w:strike w:val="0"/>
          <w:sz w:val="14"/>
          <w:u w:val="none"/>
        </w:rPr>
        <w:t xml:space="preserve">, such as the </w:t>
      </w:r>
      <w:r>
        <w:rPr>
          <w:b w:val="0"/>
          <w:i w:val="0"/>
          <w:smallCaps w:val="0"/>
          <w:strike w:val="0"/>
          <w:sz w:val="22"/>
          <w:u w:val="single"/>
        </w:rPr>
        <w:t>rupture of liberal democracies</w:t>
      </w:r>
      <w:r>
        <w:rPr>
          <w:b w:val="0"/>
          <w:i w:val="0"/>
          <w:smallCaps w:val="0"/>
          <w:strike w:val="0"/>
          <w:sz w:val="14"/>
          <w:u w:val="none"/>
        </w:rPr>
        <w:t xml:space="preserve"> in many parts of the world (Castells, 2018), </w:t>
      </w:r>
      <w:r>
        <w:rPr>
          <w:b w:val="0"/>
          <w:i w:val="0"/>
          <w:smallCaps w:val="0"/>
          <w:strike w:val="0"/>
          <w:sz w:val="22"/>
          <w:u w:val="single"/>
        </w:rPr>
        <w:t xml:space="preserve">a growing </w:t>
      </w:r>
      <w:r>
        <w:rPr>
          <w:b/>
          <w:i w:val="0"/>
          <w:smallCaps w:val="0"/>
          <w:strike w:val="0"/>
          <w:sz w:val="22"/>
          <w:u w:val="single"/>
        </w:rPr>
        <w:t>crisis in</w:t>
      </w:r>
      <w:r>
        <w:rPr>
          <w:b w:val="0"/>
          <w:i w:val="0"/>
          <w:smallCaps w:val="0"/>
          <w:strike w:val="0"/>
          <w:sz w:val="14"/>
          <w:u w:val="none"/>
        </w:rPr>
        <w:t xml:space="preserve"> what has been </w:t>
      </w:r>
      <w:r>
        <w:rPr>
          <w:b w:val="0"/>
          <w:i w:val="0"/>
          <w:smallCaps w:val="0"/>
          <w:strike w:val="0"/>
          <w:sz w:val="14"/>
          <w:u w:val="none"/>
        </w:rPr>
        <w:t>characterised</w:t>
      </w:r>
      <w:r>
        <w:rPr>
          <w:b w:val="0"/>
          <w:i w:val="0"/>
          <w:smallCaps w:val="0"/>
          <w:strike w:val="0"/>
          <w:sz w:val="14"/>
          <w:u w:val="none"/>
        </w:rPr>
        <w:t xml:space="preserve"> as </w:t>
      </w:r>
      <w:r>
        <w:rPr>
          <w:b/>
          <w:i w:val="0"/>
          <w:smallCaps w:val="0"/>
          <w:strike w:val="0"/>
          <w:sz w:val="22"/>
          <w:u w:val="single"/>
        </w:rPr>
        <w:t>‘progressive neoliberalism’ in the global North</w:t>
      </w:r>
      <w:r>
        <w:rPr>
          <w:b w:val="0"/>
          <w:i w:val="0"/>
          <w:smallCaps w:val="0"/>
          <w:strike w:val="0"/>
          <w:sz w:val="14"/>
          <w:u w:val="none"/>
        </w:rPr>
        <w:t xml:space="preserve"> (Fraser, 2019), and </w:t>
      </w:r>
      <w:r>
        <w:rPr>
          <w:b w:val="0"/>
          <w:i w:val="0"/>
          <w:smallCaps w:val="0"/>
          <w:strike w:val="0"/>
          <w:sz w:val="22"/>
          <w:u w:val="single"/>
        </w:rPr>
        <w:t>the rise of nationalist populism in many countries, both North and South</w:t>
      </w:r>
      <w:r>
        <w:rPr>
          <w:b w:val="0"/>
          <w:i w:val="0"/>
          <w:smallCaps w:val="0"/>
          <w:strike w:val="0"/>
          <w:sz w:val="14"/>
          <w:u w:val="none"/>
        </w:rPr>
        <w:t xml:space="preserve"> (Cox, 2017; Roth, 2017). Although some important work did consider the health impacts of growing populist politics, especially after the emergence of COVID-19 (Falkenbach &amp; Greer, 2021; Garrett, 2017; Williams et al., 2020), the </w:t>
      </w:r>
      <w:r>
        <w:rPr>
          <w:b w:val="0"/>
          <w:i w:val="0"/>
          <w:smallCaps w:val="0"/>
          <w:strike w:val="0"/>
          <w:sz w:val="22"/>
          <w:u w:val="single"/>
        </w:rPr>
        <w:t>vast majority of the global health field</w:t>
      </w:r>
      <w:r>
        <w:rPr>
          <w:b w:val="0"/>
          <w:i w:val="0"/>
          <w:smallCaps w:val="0"/>
          <w:strike w:val="0"/>
          <w:sz w:val="14"/>
          <w:u w:val="none"/>
        </w:rPr>
        <w:t xml:space="preserve"> – and the institutions that coordinate it – seem to have </w:t>
      </w:r>
      <w:r>
        <w:rPr>
          <w:b w:val="0"/>
          <w:i w:val="0"/>
          <w:smallCaps w:val="0"/>
          <w:strike w:val="0"/>
          <w:sz w:val="22"/>
          <w:u w:val="single"/>
        </w:rPr>
        <w:t>paid</w:t>
      </w:r>
      <w:r>
        <w:rPr>
          <w:b w:val="0"/>
          <w:i w:val="0"/>
          <w:smallCaps w:val="0"/>
          <w:strike w:val="0"/>
          <w:sz w:val="14"/>
          <w:u w:val="none"/>
        </w:rPr>
        <w:t xml:space="preserve"> relatively </w:t>
      </w:r>
      <w:r>
        <w:rPr>
          <w:b w:val="0"/>
          <w:i w:val="0"/>
          <w:smallCaps w:val="0"/>
          <w:strike w:val="0"/>
          <w:sz w:val="22"/>
          <w:u w:val="single"/>
        </w:rPr>
        <w:t>little attention</w:t>
      </w:r>
      <w:r>
        <w:rPr>
          <w:b w:val="0"/>
          <w:i w:val="0"/>
          <w:smallCaps w:val="0"/>
          <w:strike w:val="0"/>
          <w:sz w:val="14"/>
          <w:u w:val="none"/>
        </w:rPr>
        <w:t xml:space="preserve"> to this changing political climate. </w:t>
      </w:r>
      <w:r>
        <w:rPr>
          <w:b w:val="0"/>
          <w:i w:val="0"/>
          <w:smallCaps w:val="0"/>
          <w:strike w:val="0"/>
          <w:sz w:val="22"/>
          <w:u w:val="single"/>
        </w:rPr>
        <w:t xml:space="preserve">Carrying on with business as usual, they have – </w:t>
      </w:r>
      <w:r>
        <w:rPr>
          <w:b/>
          <w:i w:val="0"/>
          <w:smallCaps w:val="0"/>
          <w:strike w:val="0"/>
          <w:sz w:val="22"/>
          <w:u w:val="single"/>
        </w:rPr>
        <w:t>largely uncritically</w:t>
      </w:r>
      <w:r>
        <w:rPr>
          <w:b w:val="0"/>
          <w:i w:val="0"/>
          <w:smallCaps w:val="0"/>
          <w:strike w:val="0"/>
          <w:sz w:val="22"/>
          <w:u w:val="single"/>
        </w:rPr>
        <w:t xml:space="preserve"> – adopted a growing emphasis on </w:t>
      </w:r>
      <w:r>
        <w:rPr>
          <w:b/>
          <w:i w:val="0"/>
          <w:smallCaps w:val="0"/>
          <w:strike w:val="0"/>
          <w:sz w:val="22"/>
          <w:u w:val="single"/>
        </w:rPr>
        <w:t>biomedical and pharmaceutical solutions</w:t>
      </w:r>
      <w:r>
        <w:rPr>
          <w:b w:val="0"/>
          <w:i w:val="0"/>
          <w:smallCaps w:val="0"/>
          <w:strike w:val="0"/>
          <w:sz w:val="22"/>
          <w:u w:val="single"/>
        </w:rPr>
        <w:t xml:space="preserve"> in an attempt to circumvent the need for more complex or far-reaching forms of social change.</w:t>
      </w:r>
      <w:r>
        <w:rPr>
          <w:b w:val="0"/>
          <w:i w:val="0"/>
          <w:smallCaps w:val="0"/>
          <w:strike w:val="0"/>
          <w:sz w:val="14"/>
          <w:u w:val="none"/>
        </w:rPr>
        <w:t xml:space="preserve"> This was perhaps most obvious in the global response to HIV and AIDS in the 2010s, as the dynamic of </w:t>
      </w:r>
      <w:r>
        <w:rPr>
          <w:b w:val="0"/>
          <w:i w:val="0"/>
          <w:smallCaps w:val="0"/>
          <w:strike w:val="0"/>
          <w:sz w:val="22"/>
          <w:u w:val="single"/>
        </w:rPr>
        <w:t>‘global scale-up’ came to focus almost exclusively on expanding access to antiretroviral treatment (and reliance on treatment as prevention), with indicators of success focusing solely on biomedical markers</w:t>
      </w:r>
      <w:r>
        <w:rPr>
          <w:b w:val="0"/>
          <w:i w:val="0"/>
          <w:smallCaps w:val="0"/>
          <w:strike w:val="0"/>
          <w:sz w:val="14"/>
          <w:u w:val="none"/>
        </w:rPr>
        <w:t xml:space="preserve"> (Kenworthy et al., 2018; </w:t>
      </w:r>
      <w:r>
        <w:rPr>
          <w:b w:val="0"/>
          <w:i w:val="0"/>
          <w:smallCaps w:val="0"/>
          <w:strike w:val="0"/>
          <w:sz w:val="14"/>
          <w:u w:val="none"/>
        </w:rPr>
        <w:t>Sandset</w:t>
      </w:r>
      <w:r>
        <w:rPr>
          <w:b w:val="0"/>
          <w:i w:val="0"/>
          <w:smallCaps w:val="0"/>
          <w:strike w:val="0"/>
          <w:sz w:val="14"/>
          <w:u w:val="none"/>
        </w:rPr>
        <w:t>, 2021).</w:t>
      </w:r>
    </w:p>
    <w:p>
      <w:pPr>
        <w:spacing w:after="60"/>
      </w:pPr>
      <w:r>
        <w:rPr>
          <w:b w:val="0"/>
          <w:i w:val="0"/>
          <w:smallCaps w:val="0"/>
          <w:strike w:val="0"/>
          <w:sz w:val="14"/>
          <w:u w:val="none"/>
        </w:rPr>
        <w:t xml:space="preserve">Within this context, any </w:t>
      </w:r>
      <w:r>
        <w:rPr>
          <w:b w:val="0"/>
          <w:i w:val="0"/>
          <w:smallCaps w:val="0"/>
          <w:strike w:val="0"/>
          <w:sz w:val="22"/>
          <w:u w:val="single"/>
        </w:rPr>
        <w:t>previous receptiveness to Latin American contributions</w:t>
      </w:r>
      <w:r>
        <w:rPr>
          <w:b w:val="0"/>
          <w:i w:val="0"/>
          <w:smallCaps w:val="0"/>
          <w:strike w:val="0"/>
          <w:sz w:val="14"/>
          <w:u w:val="none"/>
        </w:rPr>
        <w:t xml:space="preserve"> to health inequality </w:t>
      </w:r>
      <w:r>
        <w:rPr>
          <w:b w:val="0"/>
          <w:i w:val="0"/>
          <w:smallCaps w:val="0"/>
          <w:strike w:val="0"/>
          <w:sz w:val="22"/>
          <w:u w:val="single"/>
        </w:rPr>
        <w:t xml:space="preserve">has given way to a </w:t>
      </w:r>
      <w:r>
        <w:rPr>
          <w:b/>
          <w:i w:val="0"/>
          <w:smallCaps w:val="0"/>
          <w:strike w:val="0"/>
          <w:sz w:val="22"/>
          <w:u w:val="single"/>
        </w:rPr>
        <w:t>narrowing epistemological focus on the Northern-dominated</w:t>
      </w:r>
      <w:r>
        <w:rPr>
          <w:b w:val="0"/>
          <w:i w:val="0"/>
          <w:smallCaps w:val="0"/>
          <w:strike w:val="0"/>
          <w:sz w:val="22"/>
          <w:u w:val="single"/>
        </w:rPr>
        <w:t xml:space="preserve"> </w:t>
      </w:r>
      <w:r>
        <w:rPr>
          <w:b/>
          <w:i w:val="0"/>
          <w:smallCaps w:val="0"/>
          <w:strike w:val="0"/>
          <w:sz w:val="22"/>
          <w:u w:val="single"/>
        </w:rPr>
        <w:t>world</w:t>
      </w:r>
      <w:r>
        <w:rPr>
          <w:b w:val="0"/>
          <w:i w:val="0"/>
          <w:smallCaps w:val="0"/>
          <w:strike w:val="0"/>
          <w:sz w:val="22"/>
          <w:u w:val="single"/>
        </w:rPr>
        <w:t xml:space="preserve"> of global health.</w:t>
      </w:r>
      <w:r>
        <w:rPr>
          <w:b w:val="0"/>
          <w:i w:val="0"/>
          <w:smallCaps w:val="0"/>
          <w:strike w:val="0"/>
          <w:sz w:val="14"/>
          <w:u w:val="none"/>
        </w:rPr>
        <w:t xml:space="preserve"> </w:t>
      </w:r>
      <w:r>
        <w:rPr>
          <w:b w:val="0"/>
          <w:i w:val="0"/>
          <w:smallCaps w:val="0"/>
          <w:strike w:val="0"/>
          <w:sz w:val="22"/>
          <w:u w:val="single"/>
        </w:rPr>
        <w:t>As Latin America’s significance</w:t>
      </w:r>
      <w:r>
        <w:rPr>
          <w:b w:val="0"/>
          <w:i w:val="0"/>
          <w:smallCaps w:val="0"/>
          <w:strike w:val="0"/>
          <w:sz w:val="14"/>
          <w:u w:val="none"/>
        </w:rPr>
        <w:t xml:space="preserve"> and participation </w:t>
      </w:r>
      <w:r>
        <w:rPr>
          <w:b w:val="0"/>
          <w:i w:val="0"/>
          <w:smallCaps w:val="0"/>
          <w:strike w:val="0"/>
          <w:u w:val="single"/>
        </w:rPr>
        <w:t>in the field declined</w:t>
      </w:r>
      <w:r>
        <w:rPr>
          <w:b w:val="0"/>
          <w:i w:val="0"/>
          <w:smallCaps w:val="0"/>
          <w:strike w:val="0"/>
          <w:sz w:val="14"/>
          <w:u w:val="none"/>
        </w:rPr>
        <w:t xml:space="preserve"> as a result of these changes, </w:t>
      </w:r>
      <w:r>
        <w:rPr>
          <w:b w:val="0"/>
          <w:i w:val="0"/>
          <w:smallCaps w:val="0"/>
          <w:strike w:val="0"/>
          <w:sz w:val="22"/>
          <w:u w:val="single"/>
        </w:rPr>
        <w:t xml:space="preserve">so too did its successes in responding nationally and locally to key global health challenges. </w:t>
      </w:r>
      <w:r>
        <w:rPr>
          <w:b/>
          <w:i w:val="0"/>
          <w:smallCaps w:val="0"/>
          <w:strike w:val="0"/>
          <w:sz w:val="22"/>
          <w:u w:val="single"/>
        </w:rPr>
        <w:t>This derailment is evident</w:t>
      </w:r>
      <w:r>
        <w:rPr>
          <w:b w:val="0"/>
          <w:i w:val="0"/>
          <w:smallCaps w:val="0"/>
          <w:strike w:val="0"/>
          <w:sz w:val="22"/>
          <w:u w:val="single"/>
        </w:rPr>
        <w:t xml:space="preserve"> in mounting setbacks</w:t>
      </w:r>
      <w:r>
        <w:rPr>
          <w:b w:val="0"/>
          <w:i w:val="0"/>
          <w:smallCaps w:val="0"/>
          <w:strike w:val="0"/>
          <w:sz w:val="14"/>
          <w:u w:val="none"/>
        </w:rPr>
        <w:t xml:space="preserve"> within Latin America’s previously successful responses to </w:t>
      </w:r>
      <w:r>
        <w:rPr>
          <w:b w:val="0"/>
          <w:i w:val="0"/>
          <w:smallCaps w:val="0"/>
          <w:strike w:val="0"/>
          <w:sz w:val="22"/>
          <w:u w:val="single"/>
        </w:rPr>
        <w:t>HIV and AIDS</w:t>
      </w:r>
      <w:r>
        <w:rPr>
          <w:b w:val="0"/>
          <w:i w:val="0"/>
          <w:smallCaps w:val="0"/>
          <w:strike w:val="0"/>
          <w:sz w:val="14"/>
          <w:u w:val="none"/>
        </w:rPr>
        <w:t xml:space="preserve"> (Berkman et al., 2005; Oliveira-Cruz &amp; Kowalski, 2004; UNAIDS, 2011) </w:t>
      </w:r>
      <w:r>
        <w:rPr>
          <w:b w:val="0"/>
          <w:i w:val="0"/>
          <w:smallCaps w:val="0"/>
          <w:strike w:val="0"/>
          <w:sz w:val="22"/>
          <w:u w:val="single"/>
        </w:rPr>
        <w:t>and</w:t>
      </w:r>
      <w:r>
        <w:rPr>
          <w:b w:val="0"/>
          <w:i w:val="0"/>
          <w:smallCaps w:val="0"/>
          <w:strike w:val="0"/>
          <w:sz w:val="14"/>
          <w:u w:val="none"/>
        </w:rPr>
        <w:t xml:space="preserve">, more recently, in its significant early challenges in addressing </w:t>
      </w:r>
      <w:r>
        <w:rPr>
          <w:b w:val="0"/>
          <w:i w:val="0"/>
          <w:smallCaps w:val="0"/>
          <w:strike w:val="0"/>
          <w:sz w:val="22"/>
          <w:u w:val="single"/>
        </w:rPr>
        <w:t>COVID-19</w:t>
      </w:r>
      <w:r>
        <w:rPr>
          <w:b w:val="0"/>
          <w:i w:val="0"/>
          <w:smallCaps w:val="0"/>
          <w:strike w:val="0"/>
          <w:sz w:val="14"/>
          <w:u w:val="none"/>
        </w:rPr>
        <w:t xml:space="preserve"> (Burki, 2020; The Lancet, 2021). Based on our analysis, </w:t>
      </w:r>
      <w:r>
        <w:rPr>
          <w:b w:val="0"/>
          <w:i w:val="0"/>
          <w:smallCaps w:val="0"/>
          <w:strike w:val="0"/>
          <w:sz w:val="22"/>
          <w:u w:val="single"/>
        </w:rPr>
        <w:t xml:space="preserve">it is only possible to fully account for these changes if we </w:t>
      </w:r>
      <w:r>
        <w:rPr>
          <w:b w:val="0"/>
          <w:i w:val="0"/>
          <w:smallCaps w:val="0"/>
          <w:strike w:val="0"/>
          <w:sz w:val="22"/>
          <w:u w:val="single"/>
        </w:rPr>
        <w:t>analyse</w:t>
      </w:r>
      <w:r>
        <w:rPr>
          <w:b w:val="0"/>
          <w:i w:val="0"/>
          <w:smallCaps w:val="0"/>
          <w:strike w:val="0"/>
          <w:sz w:val="22"/>
          <w:u w:val="single"/>
        </w:rPr>
        <w:t xml:space="preserve"> the ways in which politics and political processes</w:t>
      </w:r>
      <w:r>
        <w:rPr>
          <w:b w:val="0"/>
          <w:i w:val="0"/>
          <w:smallCaps w:val="0"/>
          <w:strike w:val="0"/>
          <w:sz w:val="14"/>
          <w:u w:val="none"/>
        </w:rPr>
        <w:t xml:space="preserve">, within and across local/national and global/transnational actors, </w:t>
      </w:r>
      <w:r>
        <w:rPr>
          <w:b w:val="0"/>
          <w:i w:val="0"/>
          <w:smallCaps w:val="0"/>
          <w:strike w:val="0"/>
          <w:sz w:val="22"/>
          <w:u w:val="single"/>
        </w:rPr>
        <w:t>have shaped the field of global health over time</w:t>
      </w:r>
      <w:r>
        <w:rPr>
          <w:b w:val="0"/>
          <w:i w:val="0"/>
          <w:smallCaps w:val="0"/>
          <w:strike w:val="0"/>
          <w:sz w:val="14"/>
          <w:u w:val="none"/>
        </w:rPr>
        <w:t xml:space="preserve">. It is important to note that a primary limitation of this paper is its focus on HIV and AIDS as the main case study. Given the limitations of space, we have chosen to draw on our ongoing engagement with the politics of HIV and AIDS in the region where we have had the greatest experience. We hope that this case study will serve as an invitation for other scholars to explore how </w:t>
      </w:r>
      <w:r>
        <w:rPr>
          <w:b/>
          <w:i w:val="0"/>
          <w:smallCaps w:val="0"/>
          <w:strike w:val="0"/>
          <w:sz w:val="22"/>
          <w:u w:val="single"/>
        </w:rPr>
        <w:t xml:space="preserve">processes of </w:t>
      </w:r>
      <w:r>
        <w:rPr>
          <w:b/>
          <w:i w:val="0"/>
          <w:smallCaps w:val="0"/>
          <w:strike w:val="0"/>
          <w:sz w:val="22"/>
          <w:u w:val="single"/>
        </w:rPr>
        <w:t>marginalisation</w:t>
      </w:r>
      <w:r>
        <w:rPr>
          <w:b w:val="0"/>
          <w:i w:val="0"/>
          <w:smallCaps w:val="0"/>
          <w:strike w:val="0"/>
          <w:sz w:val="22"/>
          <w:u w:val="single"/>
        </w:rPr>
        <w:t xml:space="preserve"> have </w:t>
      </w:r>
      <w:r>
        <w:rPr>
          <w:b/>
          <w:i w:val="0"/>
          <w:smallCaps w:val="0"/>
          <w:strike w:val="0"/>
          <w:sz w:val="22"/>
          <w:u w:val="single"/>
        </w:rPr>
        <w:t>manifested across</w:t>
      </w:r>
      <w:r>
        <w:rPr>
          <w:b w:val="0"/>
          <w:i w:val="0"/>
          <w:smallCaps w:val="0"/>
          <w:strike w:val="0"/>
          <w:sz w:val="22"/>
          <w:u w:val="single"/>
        </w:rPr>
        <w:t xml:space="preserve"> various </w:t>
      </w:r>
      <w:r>
        <w:rPr>
          <w:b/>
          <w:i w:val="0"/>
          <w:smallCaps w:val="0"/>
          <w:strike w:val="0"/>
          <w:sz w:val="22"/>
          <w:u w:val="single"/>
        </w:rPr>
        <w:t>health outcomes</w:t>
      </w:r>
      <w:r>
        <w:rPr>
          <w:b w:val="0"/>
          <w:i w:val="0"/>
          <w:smallCaps w:val="0"/>
          <w:strike w:val="0"/>
          <w:sz w:val="22"/>
          <w:u w:val="single"/>
        </w:rPr>
        <w:t>, in this as well as in other regions, within the broader field of global health.</w:t>
      </w:r>
    </w:p>
    <w:p>
      <w:pPr>
        <w:spacing w:after="60"/>
      </w:pPr>
      <w:r>
        <w:rPr>
          <w:b w:val="0"/>
          <w:i w:val="0"/>
          <w:smallCaps w:val="0"/>
          <w:strike w:val="0"/>
          <w:sz w:val="14"/>
          <w:u w:val="none"/>
        </w:rPr>
        <w:t xml:space="preserve">Finally, the </w:t>
      </w:r>
      <w:r>
        <w:rPr>
          <w:b w:val="0"/>
          <w:i w:val="0"/>
          <w:smallCaps w:val="0"/>
          <w:strike w:val="0"/>
          <w:sz w:val="22"/>
          <w:u w:val="single"/>
        </w:rPr>
        <w:t>narrowing of global health</w:t>
      </w:r>
      <w:r>
        <w:rPr>
          <w:b w:val="0"/>
          <w:i w:val="0"/>
          <w:smallCaps w:val="0"/>
          <w:strike w:val="0"/>
          <w:sz w:val="14"/>
          <w:u w:val="none"/>
        </w:rPr>
        <w:t xml:space="preserve"> considered here should be </w:t>
      </w:r>
      <w:r>
        <w:rPr>
          <w:b w:val="0"/>
          <w:i w:val="0"/>
          <w:smallCaps w:val="0"/>
          <w:strike w:val="0"/>
          <w:sz w:val="22"/>
          <w:u w:val="single"/>
        </w:rPr>
        <w:t>analysed</w:t>
      </w:r>
      <w:r>
        <w:rPr>
          <w:b w:val="0"/>
          <w:i w:val="0"/>
          <w:smallCaps w:val="0"/>
          <w:strike w:val="0"/>
          <w:sz w:val="22"/>
          <w:u w:val="single"/>
        </w:rPr>
        <w:t xml:space="preserve"> as a manifestation of what Latin American scholars have described as the </w:t>
      </w:r>
      <w:r>
        <w:rPr>
          <w:b/>
          <w:i w:val="0"/>
          <w:smallCaps w:val="0"/>
          <w:strike w:val="0"/>
          <w:sz w:val="22"/>
          <w:u w:val="single"/>
        </w:rPr>
        <w:t>coloniality of power</w:t>
      </w:r>
      <w:r>
        <w:rPr>
          <w:b w:val="0"/>
          <w:i w:val="0"/>
          <w:smallCaps w:val="0"/>
          <w:strike w:val="0"/>
          <w:sz w:val="14"/>
          <w:u w:val="none"/>
        </w:rPr>
        <w:t xml:space="preserve"> (Quijano, 2000) – a form of </w:t>
      </w:r>
      <w:r>
        <w:rPr>
          <w:b w:val="0"/>
          <w:i w:val="0"/>
          <w:smallCaps w:val="0"/>
          <w:strike w:val="0"/>
          <w:sz w:val="22"/>
          <w:u w:val="single"/>
        </w:rPr>
        <w:t>domination</w:t>
      </w:r>
      <w:r>
        <w:rPr>
          <w:b w:val="0"/>
          <w:i w:val="0"/>
          <w:smallCaps w:val="0"/>
          <w:strike w:val="0"/>
          <w:sz w:val="14"/>
          <w:u w:val="none"/>
        </w:rPr>
        <w:t xml:space="preserve"> that </w:t>
      </w:r>
      <w:r>
        <w:rPr>
          <w:b w:val="0"/>
          <w:i w:val="0"/>
          <w:smallCaps w:val="0"/>
          <w:strike w:val="0"/>
          <w:sz w:val="22"/>
          <w:u w:val="single"/>
        </w:rPr>
        <w:t xml:space="preserve">impacts how </w:t>
      </w:r>
      <w:r>
        <w:rPr>
          <w:b/>
          <w:i w:val="0"/>
          <w:smallCaps w:val="0"/>
          <w:strike w:val="0"/>
          <w:sz w:val="22"/>
          <w:u w:val="single"/>
        </w:rPr>
        <w:t xml:space="preserve">resources are distributed </w:t>
      </w:r>
      <w:r>
        <w:rPr>
          <w:b w:val="0"/>
          <w:i w:val="0"/>
          <w:smallCaps w:val="0"/>
          <w:strike w:val="0"/>
          <w:sz w:val="22"/>
          <w:u w:val="single"/>
        </w:rPr>
        <w:t xml:space="preserve">and how </w:t>
      </w:r>
      <w:r>
        <w:rPr>
          <w:b/>
          <w:i w:val="0"/>
          <w:smallCaps w:val="0"/>
          <w:strike w:val="0"/>
          <w:sz w:val="22"/>
          <w:u w:val="single"/>
        </w:rPr>
        <w:t>knowledge is produced and valued</w:t>
      </w:r>
      <w:r>
        <w:rPr>
          <w:b w:val="0"/>
          <w:i w:val="0"/>
          <w:smallCaps w:val="0"/>
          <w:strike w:val="0"/>
          <w:sz w:val="14"/>
          <w:u w:val="none"/>
        </w:rPr>
        <w:t xml:space="preserve">. By distancing itself from the preceding structure of international health, especially during the 2000s and 2010s, </w:t>
      </w:r>
      <w:r>
        <w:rPr>
          <w:b w:val="0"/>
          <w:i w:val="0"/>
          <w:smallCaps w:val="0"/>
          <w:strike w:val="0"/>
          <w:sz w:val="22"/>
          <w:u w:val="single"/>
        </w:rPr>
        <w:t xml:space="preserve">the field of global health has contributed to the growing </w:t>
      </w:r>
      <w:r>
        <w:rPr>
          <w:b w:val="0"/>
          <w:i w:val="0"/>
          <w:smallCaps w:val="0"/>
          <w:strike w:val="0"/>
          <w:sz w:val="22"/>
          <w:u w:val="single"/>
        </w:rPr>
        <w:t>epistemicide</w:t>
      </w:r>
      <w:r>
        <w:rPr>
          <w:b w:val="0"/>
          <w:i w:val="0"/>
          <w:smallCaps w:val="0"/>
          <w:strike w:val="0"/>
          <w:sz w:val="22"/>
          <w:u w:val="single"/>
        </w:rPr>
        <w:t xml:space="preserve"> of Southern theory and thinking. </w:t>
      </w:r>
      <w:r>
        <w:rPr>
          <w:b/>
          <w:i w:val="0"/>
          <w:smallCaps w:val="0"/>
          <w:strike w:val="0"/>
          <w:sz w:val="22"/>
          <w:u w:val="single"/>
        </w:rPr>
        <w:t>We must listen</w:t>
      </w:r>
      <w:r>
        <w:rPr>
          <w:b w:val="0"/>
          <w:i w:val="0"/>
          <w:smallCaps w:val="0"/>
          <w:strike w:val="0"/>
          <w:sz w:val="22"/>
          <w:u w:val="single"/>
        </w:rPr>
        <w:t xml:space="preserve"> to </w:t>
      </w:r>
      <w:r>
        <w:rPr>
          <w:b/>
          <w:i w:val="0"/>
          <w:smallCaps w:val="0"/>
          <w:strike w:val="0"/>
          <w:sz w:val="22"/>
          <w:u w:val="single"/>
        </w:rPr>
        <w:t>and learn</w:t>
      </w:r>
      <w:r>
        <w:rPr>
          <w:b w:val="0"/>
          <w:i w:val="0"/>
          <w:smallCaps w:val="0"/>
          <w:strike w:val="0"/>
          <w:sz w:val="22"/>
          <w:u w:val="single"/>
        </w:rPr>
        <w:t xml:space="preserve"> from Latin American scholars</w:t>
      </w:r>
      <w:r>
        <w:rPr>
          <w:b w:val="0"/>
          <w:i w:val="0"/>
          <w:smallCaps w:val="0"/>
          <w:strike w:val="0"/>
          <w:sz w:val="14"/>
          <w:u w:val="none"/>
        </w:rPr>
        <w:t xml:space="preserve"> and health professionals who continue to advance understandings of </w:t>
      </w:r>
      <w:r>
        <w:rPr>
          <w:b w:val="0"/>
          <w:i w:val="0"/>
          <w:smallCaps w:val="0"/>
          <w:strike w:val="0"/>
          <w:sz w:val="22"/>
          <w:u w:val="single"/>
        </w:rPr>
        <w:t>health as shaped by sociopolitical factors</w:t>
      </w:r>
      <w:r>
        <w:rPr>
          <w:b w:val="0"/>
          <w:i w:val="0"/>
          <w:smallCaps w:val="0"/>
          <w:strike w:val="0"/>
          <w:sz w:val="14"/>
          <w:u w:val="none"/>
        </w:rPr>
        <w:t xml:space="preserve"> (</w:t>
      </w:r>
      <w:r>
        <w:rPr>
          <w:b w:val="0"/>
          <w:i w:val="0"/>
          <w:smallCaps w:val="0"/>
          <w:strike w:val="0"/>
          <w:sz w:val="14"/>
          <w:u w:val="none"/>
        </w:rPr>
        <w:t>Alianza</w:t>
      </w:r>
      <w:r>
        <w:rPr>
          <w:b w:val="0"/>
          <w:i w:val="0"/>
          <w:smallCaps w:val="0"/>
          <w:strike w:val="0"/>
          <w:sz w:val="14"/>
          <w:u w:val="none"/>
        </w:rPr>
        <w:t xml:space="preserve"> </w:t>
      </w:r>
      <w:r>
        <w:rPr>
          <w:b w:val="0"/>
          <w:i w:val="0"/>
          <w:smallCaps w:val="0"/>
          <w:strike w:val="0"/>
          <w:sz w:val="14"/>
          <w:u w:val="none"/>
        </w:rPr>
        <w:t>Latinoamericana</w:t>
      </w:r>
      <w:r>
        <w:rPr>
          <w:b w:val="0"/>
          <w:i w:val="0"/>
          <w:smallCaps w:val="0"/>
          <w:strike w:val="0"/>
          <w:sz w:val="14"/>
          <w:u w:val="none"/>
        </w:rPr>
        <w:t xml:space="preserve"> de Salud Global, 2016; Nunes &amp; Pimenta, 2016), and offer valuable </w:t>
      </w:r>
      <w:r>
        <w:rPr>
          <w:b w:val="0"/>
          <w:i w:val="0"/>
          <w:smallCaps w:val="0"/>
          <w:strike w:val="0"/>
          <w:sz w:val="22"/>
          <w:u w:val="single"/>
        </w:rPr>
        <w:t xml:space="preserve">critiques of unequal distributions of power and resources in </w:t>
      </w:r>
      <w:r>
        <w:rPr>
          <w:b/>
          <w:i w:val="0"/>
          <w:smallCaps w:val="0"/>
          <w:strike w:val="0"/>
          <w:sz w:val="22"/>
          <w:u w:val="single"/>
        </w:rPr>
        <w:t>reproducing health inequities globally</w:t>
      </w:r>
      <w:r>
        <w:rPr>
          <w:b w:val="0"/>
          <w:i w:val="0"/>
          <w:smallCaps w:val="0"/>
          <w:strike w:val="0"/>
          <w:sz w:val="14"/>
          <w:u w:val="none"/>
        </w:rPr>
        <w:t xml:space="preserve"> (Franco-Giraldo, 2016).</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