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Only through disrupting the arrangement of the army through syntax can we solve.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Stricklin, 20</w:t>
      </w:r>
      <w:r>
        <w:rPr>
          <w:b w:val="0"/>
          <w:i w:val="0"/>
          <w:smallCaps w:val="0"/>
          <w:strike w:val="0"/>
          <w:u w:val="none"/>
        </w:rPr>
        <w:t xml:space="preserve"> (Blake Raymond Stricklin is a professor and lecturer in English at the University of Houston Victoria with prior experience in Florida State University. Journal of Modern Literature , Vol. 43, No. 3, Linguistic Politics (Spring 2020), pp. 98-115, 2020, accessed 7/20/24)//Ilake TY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his Writing Through The Cantos, Cage frees the poem from Pound’s authorial intention by ironically invoking the author’s name in the </w:t>
      </w:r>
      <w:r>
        <w:rPr>
          <w:b w:val="0"/>
          <w:i w:val="0"/>
          <w:smallCaps w:val="0"/>
          <w:strike w:val="0"/>
          <w:sz w:val="16"/>
          <w:u w:val="none"/>
        </w:rPr>
        <w:t>mesostic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These Pound </w:t>
      </w:r>
      <w:r>
        <w:rPr>
          <w:b w:val="0"/>
          <w:i w:val="0"/>
          <w:smallCaps w:val="0"/>
          <w:strike w:val="0"/>
          <w:sz w:val="16"/>
          <w:u w:val="none"/>
        </w:rPr>
        <w:t>mesostics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appeared in the 1984 Unmuzzled Ox issue with Jackson Mac Low’s writings through the poem.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while their methods might differ slightly, Craig Dworkin notes that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both Mac Low and Cage “perform an ideological hijacking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sorts” when they submit Pound’s poem to the non-intentional rules of the </w:t>
      </w:r>
      <w:r>
        <w:rPr>
          <w:b w:val="0"/>
          <w:i w:val="0"/>
          <w:smallCaps w:val="0"/>
          <w:strike w:val="0"/>
          <w:sz w:val="22"/>
          <w:u w:val="single"/>
        </w:rPr>
        <w:t>mesostic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(101).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Cage’s 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anarchic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politics align more with Thoreau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Pound. In his diary, Cage cites the sentence in Civil Disobedience where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Thoreau argues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best government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one that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does not govern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all. Yet for Cage,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this also applies to language</w:t>
      </w:r>
      <w:r>
        <w:rPr>
          <w:b w:val="0"/>
          <w:i w:val="0"/>
          <w:smallCaps w:val="0"/>
          <w:strike w:val="0"/>
          <w:sz w:val="22"/>
          <w:u w:val="single"/>
        </w:rPr>
        <w:t>: “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Syntax, like / government, can only be obeyed</w:t>
      </w:r>
      <w:r>
        <w:rPr>
          <w:b w:val="0"/>
          <w:i w:val="0"/>
          <w:smallCaps w:val="0"/>
          <w:strike w:val="0"/>
          <w:sz w:val="22"/>
          <w:u w:val="single"/>
        </w:rPr>
        <w:t>” (M 215).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Thoreau, then, still maintains a syntactical arrangement in his Journal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He might envision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 politics with no government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his writing,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but if governments administer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order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populations 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“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incitement to discourse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,” Cage demands that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such a politics must also break with communication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 the opening to Empty Words, Cage cites Norman O. Brown’s comment that </w:t>
      </w:r>
      <w:r>
        <w:rPr>
          <w:b/>
          <w:i w:val="0"/>
          <w:smallCaps w:val="0"/>
          <w:strike w:val="0"/>
          <w:sz w:val="22"/>
          <w:u w:val="single"/>
        </w:rPr>
        <w:t>“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syntax” is the “arrangement of the army</w:t>
      </w:r>
      <w:r>
        <w:rPr>
          <w:b/>
          <w:i w:val="0"/>
          <w:smallCaps w:val="0"/>
          <w:strike w:val="0"/>
          <w:sz w:val="22"/>
          <w:u w:val="single"/>
        </w:rPr>
        <w:t>”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(Empty Words 11). A “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language free from syntax,” then, results in a “demilitarization of language</w:t>
      </w:r>
      <w:r>
        <w:rPr>
          <w:b w:val="0"/>
          <w:i w:val="0"/>
          <w:smallCaps w:val="0"/>
          <w:strike w:val="0"/>
          <w:sz w:val="22"/>
          <w:u w:val="single"/>
        </w:rPr>
        <w:t>” (Empty Words 11). This demilitarization, as cited in the epigraph above, was a serious musical concern for Cage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Yet it was also a serious political concern for the speakers at the </w:t>
      </w:r>
      <w:r>
        <w:rPr>
          <w:b w:val="0"/>
          <w:i w:val="0"/>
          <w:smallCaps w:val="0"/>
          <w:strike w:val="0"/>
          <w:sz w:val="16"/>
          <w:u w:val="none"/>
        </w:rPr>
        <w:t>Schizo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-Culture conference.1  </w:t>
      </w:r>
      <w:r>
        <w:rPr>
          <w:b w:val="0"/>
          <w:i w:val="0"/>
          <w:smallCaps w:val="0"/>
          <w:strike w:val="0"/>
          <w:sz w:val="16"/>
          <w:u w:val="none"/>
        </w:rPr>
        <w:t>Guattari’s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lecture in particular called attention to the arrangement of power within certain “linguistic castes” (</w:t>
      </w:r>
      <w:r>
        <w:rPr>
          <w:b w:val="0"/>
          <w:i w:val="0"/>
          <w:smallCaps w:val="0"/>
          <w:strike w:val="0"/>
          <w:sz w:val="16"/>
          <w:u w:val="none"/>
        </w:rPr>
        <w:t>Schizo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-Culture: The Event 192).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</w:t>
      </w:r>
      <w:r>
        <w:rPr>
          <w:b w:val="0"/>
          <w:i w:val="0"/>
          <w:smallCaps w:val="0"/>
          <w:strike w:val="0"/>
          <w:sz w:val="22"/>
          <w:u w:val="single"/>
        </w:rPr>
        <w:t>Guattari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(and Deleuze), “what is at issue 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what type of politics is pursued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regard to different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linguistic arrangements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exist” (</w:t>
      </w:r>
      <w:r>
        <w:rPr>
          <w:b w:val="0"/>
          <w:i w:val="0"/>
          <w:smallCaps w:val="0"/>
          <w:strike w:val="0"/>
          <w:sz w:val="22"/>
          <w:u w:val="single"/>
        </w:rPr>
        <w:t>SchizoCulture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193).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university, medical, and state institutions subjugate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aberrant signs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to a homogeneous linguistic order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order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to effectively communicate the goals of the capital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Yet Deleuze and </w:t>
      </w:r>
      <w:r>
        <w:rPr>
          <w:b w:val="0"/>
          <w:i w:val="0"/>
          <w:smallCaps w:val="0"/>
          <w:strike w:val="0"/>
          <w:sz w:val="16"/>
          <w:u w:val="none"/>
        </w:rPr>
        <w:t>Guattari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identify more than these marching orders.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elaborate on these differing sign systems in A Thousand Plateaus where Deleuze and </w:t>
      </w:r>
      <w:r>
        <w:rPr>
          <w:b w:val="0"/>
          <w:i w:val="0"/>
          <w:smallCaps w:val="0"/>
          <w:strike w:val="0"/>
          <w:sz w:val="22"/>
          <w:u w:val="single"/>
        </w:rPr>
        <w:t>Guattari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identify at least “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four regimes of signs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”—a </w:t>
      </w:r>
      <w:r>
        <w:rPr>
          <w:b w:val="0"/>
          <w:i w:val="0"/>
          <w:smallCaps w:val="0"/>
          <w:strike w:val="0"/>
          <w:sz w:val="22"/>
          <w:u w:val="single"/>
        </w:rPr>
        <w:t>presignifying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 signifying, a </w:t>
      </w:r>
      <w:r>
        <w:rPr>
          <w:b w:val="0"/>
          <w:i w:val="0"/>
          <w:smallCaps w:val="0"/>
          <w:strike w:val="0"/>
          <w:sz w:val="22"/>
          <w:u w:val="single"/>
        </w:rPr>
        <w:t>countersignifying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a </w:t>
      </w:r>
      <w:r>
        <w:rPr>
          <w:b w:val="0"/>
          <w:i w:val="0"/>
          <w:smallCaps w:val="0"/>
          <w:strike w:val="0"/>
          <w:sz w:val="22"/>
          <w:u w:val="single"/>
        </w:rPr>
        <w:t>postsignifying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regime.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Not one of these four linguistic arrangements, however, has a primacy or privileged place. For Deleuze and </w:t>
      </w:r>
      <w:r>
        <w:rPr>
          <w:b w:val="0"/>
          <w:i w:val="0"/>
          <w:smallCaps w:val="0"/>
          <w:strike w:val="0"/>
          <w:sz w:val="16"/>
          <w:u w:val="none"/>
        </w:rPr>
        <w:t>Guattari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every semiotic regime is “mixed and only functions as such.”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conclude, then, that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there exists “no general semiology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but rather a </w:t>
      </w:r>
      <w:r>
        <w:rPr>
          <w:b w:val="0"/>
          <w:i w:val="0"/>
          <w:smallCaps w:val="0"/>
          <w:strike w:val="0"/>
          <w:sz w:val="22"/>
          <w:u w:val="single"/>
        </w:rPr>
        <w:t>transsemiotic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(Thousand Plateaus 136). Such a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mutating and changing (trans)semiotic trips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marching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feet of the syntactical army.</w:t>
      </w:r>
    </w:p>
    <w:p>
      <w:pPr>
        <w:pStyle w:val="Caption"/>
      </w:pPr>
      <w:r>
        <w:t>Source: Biopolitics Kritik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