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Reject the neg for reading Focault’s theory – He’s a pedophile and child abuser – We are inserting it as </w:t>
      </w:r>
      <w:r>
        <w:rPr>
          <w:b/>
          <w:i w:val="0"/>
          <w:smallCaps w:val="0"/>
          <w:strike w:val="0"/>
          <w:sz w:val="26"/>
          <w:u w:val="none"/>
        </w:rPr>
        <w:t>evidenince</w:t>
      </w:r>
      <w:r>
        <w:rPr>
          <w:b/>
          <w:i w:val="0"/>
          <w:smallCaps w:val="0"/>
          <w:strike w:val="0"/>
          <w:sz w:val="26"/>
          <w:u w:val="none"/>
        </w:rPr>
        <w:t xml:space="preserve"> without reading it for just how </w:t>
      </w:r>
      <w:r>
        <w:rPr>
          <w:b/>
          <w:i w:val="0"/>
          <w:smallCaps w:val="0"/>
          <w:strike w:val="0"/>
          <w:sz w:val="26"/>
          <w:u w:val="none"/>
        </w:rPr>
        <w:t>appaling</w:t>
      </w:r>
      <w:r>
        <w:rPr>
          <w:b/>
          <w:i w:val="0"/>
          <w:smallCaps w:val="0"/>
          <w:strike w:val="0"/>
          <w:sz w:val="26"/>
          <w:u w:val="none"/>
        </w:rPr>
        <w:t xml:space="preserve"> it is – Trigger warning for those who do read it</w:t>
      </w:r>
    </w:p>
    <w:p>
      <w:pPr>
        <w:spacing w:after="80"/>
      </w:pPr>
      <w:r>
        <w:rPr>
          <w:b/>
          <w:i w:val="0"/>
          <w:smallCaps w:val="0"/>
          <w:strike w:val="0"/>
          <w:sz w:val="26"/>
          <w:u w:val="none"/>
        </w:rPr>
        <w:t>The New Arab</w:t>
      </w:r>
      <w:r>
        <w:rPr>
          <w:b/>
          <w:i w:val="0"/>
          <w:smallCaps w:val="0"/>
          <w:strike w:val="0"/>
          <w:sz w:val="26"/>
          <w:u w:val="none"/>
        </w:rPr>
        <w:t xml:space="preserve"> 21</w:t>
      </w:r>
      <w:r>
        <w:rPr>
          <w:b w:val="0"/>
          <w:i w:val="0"/>
          <w:smallCaps w:val="0"/>
          <w:strike w:val="0"/>
          <w:u w:val="none"/>
        </w:rPr>
        <w:t>, The New Arab is a newspaper “French philosopher Michel Foucault 'sexually abused boys in Tunisia': report”</w:t>
      </w:r>
      <w:r>
        <w:rPr>
          <w:b w:val="0"/>
          <w:i w:val="0"/>
          <w:smallCaps w:val="0"/>
          <w:strike w:val="0"/>
          <w:u w:val="none"/>
        </w:rPr>
        <w:t>, JLB, https://www.newarab.com/news/french-philosopher-michel-foucault-sexually-abused-boys-tunisia</w:t>
      </w:r>
    </w:p>
    <w:p>
      <w:pPr>
        <w:spacing w:after="60"/>
      </w:pPr>
      <w:r>
        <w:rPr>
          <w:b w:val="0"/>
          <w:i w:val="0"/>
          <w:smallCaps w:val="0"/>
          <w:strike w:val="0"/>
          <w:sz w:val="16"/>
          <w:u w:val="none"/>
        </w:rPr>
        <w:t xml:space="preserve">In an interview, Guy Sorman said he found out about Foucault's </w:t>
      </w:r>
      <w:r>
        <w:rPr>
          <w:b w:val="0"/>
          <w:i w:val="0"/>
          <w:smallCaps w:val="0"/>
          <w:strike w:val="0"/>
          <w:sz w:val="16"/>
          <w:u w:val="none"/>
        </w:rPr>
        <w:t>behaviour</w:t>
      </w:r>
      <w:r>
        <w:rPr>
          <w:b w:val="0"/>
          <w:i w:val="0"/>
          <w:smallCaps w:val="0"/>
          <w:strike w:val="0"/>
          <w:sz w:val="16"/>
          <w:u w:val="none"/>
        </w:rPr>
        <w:t xml:space="preserve"> after visiting the late philosopher in Tunisia where he was living in 1969. "Young children were running after Foucault </w:t>
      </w:r>
      <w:r>
        <w:rPr>
          <w:b w:val="0"/>
          <w:i w:val="0"/>
          <w:smallCaps w:val="0"/>
          <w:strike w:val="0"/>
          <w:sz w:val="16"/>
          <w:u w:val="none"/>
        </w:rPr>
        <w:t>saying</w:t>
      </w:r>
      <w:r>
        <w:rPr>
          <w:b w:val="0"/>
          <w:i w:val="0"/>
          <w:smallCaps w:val="0"/>
          <w:strike w:val="0"/>
          <w:sz w:val="16"/>
          <w:u w:val="none"/>
        </w:rPr>
        <w:t xml:space="preserve"> 'what about me? take me, take me'," he said to The Sunday Times. "</w:t>
      </w:r>
      <w:r>
        <w:rPr>
          <w:b w:val="0"/>
          <w:i w:val="0"/>
          <w:smallCaps w:val="0"/>
          <w:strike w:val="0"/>
          <w:sz w:val="22"/>
          <w:highlight w:val="green"/>
          <w:u w:val="single"/>
        </w:rPr>
        <w:t>They were eight, nine, ten years old. He was throwing money at them and would say 'let’s meet at 10pm at the usual place'. He would make love there on the gravestones with young boys. The question of consent wasn’t even raised</w:t>
      </w:r>
      <w:r>
        <w:rPr>
          <w:b w:val="0"/>
          <w:i w:val="0"/>
          <w:smallCaps w:val="0"/>
          <w:strike w:val="0"/>
          <w:sz w:val="22"/>
          <w:u w:val="single"/>
        </w:rPr>
        <w:t>."</w:t>
      </w:r>
      <w:r>
        <w:rPr>
          <w:b w:val="0"/>
          <w:i w:val="0"/>
          <w:smallCaps w:val="0"/>
          <w:strike w:val="0"/>
          <w:sz w:val="16"/>
          <w:u w:val="none"/>
        </w:rPr>
        <w:t xml:space="preserve"> Sorman argued that Foucault was able to get away with this because of the racial element of his affairs. "Foucault would not have dared to do it in France… There is a colonial dimension to this. A white imperialism," Sorman said. In the interview Sorman said he "regrets" not reporting this "</w:t>
      </w:r>
      <w:r>
        <w:rPr>
          <w:b w:val="0"/>
          <w:i w:val="0"/>
          <w:smallCaps w:val="0"/>
          <w:strike w:val="0"/>
          <w:sz w:val="22"/>
          <w:highlight w:val="green"/>
          <w:u w:val="single"/>
        </w:rPr>
        <w:t>extremely morally ugly</w:t>
      </w:r>
      <w:r>
        <w:rPr>
          <w:b w:val="0"/>
          <w:i w:val="0"/>
          <w:smallCaps w:val="0"/>
          <w:strike w:val="0"/>
          <w:sz w:val="16"/>
          <w:u w:val="none"/>
        </w:rPr>
        <w:t xml:space="preserve">" </w:t>
      </w:r>
      <w:r>
        <w:rPr>
          <w:b w:val="0"/>
          <w:i w:val="0"/>
          <w:smallCaps w:val="0"/>
          <w:strike w:val="0"/>
          <w:sz w:val="16"/>
          <w:u w:val="none"/>
        </w:rPr>
        <w:t>behaviour</w:t>
      </w:r>
      <w:r>
        <w:rPr>
          <w:b w:val="0"/>
          <w:i w:val="0"/>
          <w:smallCaps w:val="0"/>
          <w:strike w:val="0"/>
          <w:sz w:val="16"/>
          <w:u w:val="none"/>
        </w:rPr>
        <w:t xml:space="preserve"> to the police. He added that the press had been aware of Foucault’s conduct but were reluctant to publish stories due to his status as France’s "philosopher king" alike to that of a "god". </w:t>
      </w:r>
      <w:r>
        <w:rPr>
          <w:b w:val="0"/>
          <w:i w:val="0"/>
          <w:smallCaps w:val="0"/>
          <w:strike w:val="0"/>
          <w:sz w:val="22"/>
          <w:highlight w:val="green"/>
          <w:u w:val="single"/>
        </w:rPr>
        <w:t>The philosopher</w:t>
      </w:r>
      <w:r>
        <w:rPr>
          <w:b w:val="0"/>
          <w:i w:val="0"/>
          <w:smallCaps w:val="0"/>
          <w:strike w:val="0"/>
          <w:sz w:val="22"/>
          <w:u w:val="single"/>
        </w:rPr>
        <w:t xml:space="preserve"> who died in 1984 signed a petition in 1977, which </w:t>
      </w:r>
      <w:r>
        <w:rPr>
          <w:b w:val="0"/>
          <w:i w:val="0"/>
          <w:smallCaps w:val="0"/>
          <w:strike w:val="0"/>
          <w:sz w:val="22"/>
          <w:highlight w:val="green"/>
          <w:u w:val="single"/>
        </w:rPr>
        <w:t xml:space="preserve">sought to </w:t>
      </w:r>
      <w:r>
        <w:rPr>
          <w:b w:val="0"/>
          <w:i w:val="0"/>
          <w:smallCaps w:val="0"/>
          <w:strike w:val="0"/>
          <w:sz w:val="22"/>
          <w:highlight w:val="green"/>
          <w:u w:val="single"/>
        </w:rPr>
        <w:t>legalise</w:t>
      </w:r>
      <w:r>
        <w:rPr>
          <w:b w:val="0"/>
          <w:i w:val="0"/>
          <w:smallCaps w:val="0"/>
          <w:strike w:val="0"/>
          <w:sz w:val="22"/>
          <w:highlight w:val="green"/>
          <w:u w:val="single"/>
        </w:rPr>
        <w:t xml:space="preserve"> sexual relations with children aged 13</w:t>
      </w:r>
      <w:r>
        <w:rPr>
          <w:b w:val="0"/>
          <w:i w:val="0"/>
          <w:smallCaps w:val="0"/>
          <w:strike w:val="0"/>
          <w:sz w:val="22"/>
          <w:u w:val="single"/>
        </w:rPr>
        <w:t xml:space="preserve"> or above.</w:t>
      </w:r>
      <w:r>
        <w:rPr>
          <w:b w:val="0"/>
          <w:i w:val="0"/>
          <w:smallCaps w:val="0"/>
          <w:strike w:val="0"/>
          <w:sz w:val="16"/>
          <w:u w:val="none"/>
        </w:rPr>
        <w:t xml:space="preserve"> He is famous for his analysis of the prison system, mental health and sexuality, and is often associated with the contemporary discourse around identity politics.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