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Agamben’s theory of power is flawed, it distorts the world as a binary which limits his analysis of power and governmentality, Not every form of government power is biopolitical.</w:t>
      </w:r>
    </w:p>
    <w:p>
      <w:pPr>
        <w:spacing w:after="80"/>
      </w:pPr>
      <w:r>
        <w:rPr>
          <w:b/>
          <w:i w:val="0"/>
          <w:smallCaps w:val="0"/>
          <w:strike w:val="0"/>
          <w:sz w:val="26"/>
          <w:u w:val="none"/>
        </w:rPr>
        <w:t>Lemke 05</w:t>
      </w:r>
      <w:r>
        <w:rPr>
          <w:b w:val="0"/>
          <w:i w:val="0"/>
          <w:smallCaps w:val="0"/>
          <w:strike w:val="0"/>
          <w:u w:val="none"/>
        </w:rPr>
        <w:t>, Thomas Lemke is Professor of Sociology at the Faculty of Social Sciences at Goethe University Frankfurt. He is author of A Critique of Political Reason: Foucault’s Analysis of Modern Governmentality and Biopolitics: An Advanced Introduction. “’A Zone of Indistinction’ – A Critique of Giorgio Agamben’s Concept of Biopolitics”, 2005, JLB, https://tidsskrift.dk/index.php/outlines/article/view/2107/1871</w:t>
      </w:r>
    </w:p>
    <w:p>
      <w:pPr>
        <w:spacing w:after="60"/>
      </w:pPr>
      <w:r>
        <w:rPr>
          <w:b w:val="0"/>
          <w:i w:val="0"/>
          <w:smallCaps w:val="0"/>
          <w:strike w:val="0"/>
          <w:sz w:val="22"/>
          <w:u w:val="single"/>
        </w:rPr>
        <w:t xml:space="preserve">Our reading of </w:t>
      </w:r>
      <w:r>
        <w:rPr>
          <w:b w:val="0"/>
          <w:i w:val="0"/>
          <w:smallCaps w:val="0"/>
          <w:strike w:val="0"/>
          <w:sz w:val="22"/>
          <w:highlight w:val="green"/>
          <w:u w:val="single"/>
        </w:rPr>
        <w:t>Agamben</w:t>
      </w:r>
      <w:r>
        <w:rPr>
          <w:b w:val="0"/>
          <w:i w:val="0"/>
          <w:smallCaps w:val="0"/>
          <w:strike w:val="0"/>
          <w:sz w:val="22"/>
          <w:u w:val="single"/>
        </w:rPr>
        <w:t xml:space="preserve"> leads to a surprising result. </w:t>
      </w:r>
      <w:r>
        <w:rPr>
          <w:b w:val="0"/>
          <w:i w:val="0"/>
          <w:smallCaps w:val="0"/>
          <w:strike w:val="0"/>
          <w:sz w:val="22"/>
          <w:highlight w:val="green"/>
          <w:u w:val="single"/>
        </w:rPr>
        <w:t>Following a binary code</w:t>
      </w:r>
      <w:r>
        <w:rPr>
          <w:b w:val="0"/>
          <w:i w:val="0"/>
          <w:smallCaps w:val="0"/>
          <w:strike w:val="0"/>
          <w:sz w:val="22"/>
          <w:u w:val="single"/>
        </w:rPr>
        <w:t xml:space="preserve"> and a logic of subsumption  that  </w:t>
      </w:r>
      <w:r>
        <w:rPr>
          <w:b w:val="0"/>
          <w:i w:val="0"/>
          <w:smallCaps w:val="0"/>
          <w:strike w:val="0"/>
          <w:sz w:val="22"/>
          <w:highlight w:val="green"/>
          <w:u w:val="single"/>
        </w:rPr>
        <w:t>does  not  allow  for  differ-</w:t>
      </w:r>
      <w:r>
        <w:rPr>
          <w:b w:val="0"/>
          <w:i w:val="0"/>
          <w:smallCaps w:val="0"/>
          <w:strike w:val="0"/>
          <w:sz w:val="22"/>
          <w:highlight w:val="green"/>
          <w:u w:val="single"/>
        </w:rPr>
        <w:t>entiations</w:t>
      </w:r>
      <w:r>
        <w:rPr>
          <w:b w:val="0"/>
          <w:i w:val="0"/>
          <w:smallCaps w:val="0"/>
          <w:strike w:val="0"/>
          <w:sz w:val="22"/>
          <w:highlight w:val="green"/>
          <w:u w:val="single"/>
        </w:rPr>
        <w:t>,</w:t>
      </w:r>
      <w:r>
        <w:rPr>
          <w:b w:val="0"/>
          <w:i w:val="0"/>
          <w:smallCaps w:val="0"/>
          <w:strike w:val="0"/>
          <w:sz w:val="14"/>
          <w:u w:val="none"/>
        </w:rPr>
        <w:t xml:space="preserve">  </w:t>
      </w:r>
      <w:r>
        <w:rPr>
          <w:b w:val="0"/>
          <w:i w:val="0"/>
          <w:smallCaps w:val="0"/>
          <w:strike w:val="0"/>
          <w:sz w:val="22"/>
          <w:highlight w:val="green"/>
          <w:u w:val="single"/>
        </w:rPr>
        <w:t>his  argument  remains  committed  to</w:t>
      </w:r>
      <w:r>
        <w:rPr>
          <w:b w:val="0"/>
          <w:i w:val="0"/>
          <w:smallCaps w:val="0"/>
          <w:strike w:val="0"/>
          <w:sz w:val="22"/>
          <w:u w:val="single"/>
        </w:rPr>
        <w:t xml:space="preserve"> exactly </w:t>
      </w:r>
      <w:r>
        <w:rPr>
          <w:b w:val="0"/>
          <w:i w:val="0"/>
          <w:smallCaps w:val="0"/>
          <w:strike w:val="0"/>
          <w:sz w:val="22"/>
          <w:highlight w:val="green"/>
          <w:u w:val="single"/>
        </w:rPr>
        <w:t>the</w:t>
      </w:r>
      <w:r>
        <w:rPr>
          <w:b w:val="0"/>
          <w:i w:val="0"/>
          <w:smallCaps w:val="0"/>
          <w:strike w:val="0"/>
          <w:sz w:val="22"/>
          <w:u w:val="single"/>
        </w:rPr>
        <w:t xml:space="preserve"> juridical </w:t>
      </w:r>
      <w:r>
        <w:rPr>
          <w:b w:val="0"/>
          <w:i w:val="0"/>
          <w:smallCaps w:val="0"/>
          <w:strike w:val="0"/>
          <w:sz w:val="22"/>
          <w:highlight w:val="green"/>
          <w:u w:val="single"/>
        </w:rPr>
        <w:t>perspective</w:t>
      </w:r>
      <w:r>
        <w:rPr>
          <w:b w:val="0"/>
          <w:i w:val="0"/>
          <w:smallCaps w:val="0"/>
          <w:strike w:val="0"/>
          <w:sz w:val="22"/>
          <w:u w:val="single"/>
        </w:rPr>
        <w:t xml:space="preserve"> that </w:t>
      </w:r>
      <w:r>
        <w:rPr>
          <w:b w:val="0"/>
          <w:i w:val="0"/>
          <w:smallCaps w:val="0"/>
          <w:strike w:val="0"/>
          <w:sz w:val="22"/>
          <w:highlight w:val="green"/>
          <w:u w:val="single"/>
        </w:rPr>
        <w:t>he so vividly criticizes</w:t>
      </w:r>
      <w:r>
        <w:rPr>
          <w:b w:val="0"/>
          <w:i w:val="0"/>
          <w:smallCaps w:val="0"/>
          <w:strike w:val="0"/>
          <w:sz w:val="14"/>
          <w:u w:val="none"/>
        </w:rPr>
        <w:t xml:space="preserve">. He reduces the “ambiguous terrain” (1998: 143) of biopolitics by operating  with  a  notion  of  politics  that  is  at  once  too  broad  in  its  explanatory  scope  and  too  narrow  in  empirical  complexity.  </w:t>
      </w:r>
      <w:r>
        <w:rPr>
          <w:b w:val="0"/>
          <w:i w:val="0"/>
          <w:smallCaps w:val="0"/>
          <w:strike w:val="0"/>
          <w:sz w:val="22"/>
          <w:u w:val="single"/>
        </w:rPr>
        <w:t xml:space="preserve">On  the  one  hand Agamben </w:t>
      </w:r>
      <w:r>
        <w:rPr>
          <w:b w:val="0"/>
          <w:i w:val="0"/>
          <w:smallCaps w:val="0"/>
          <w:strike w:val="0"/>
          <w:sz w:val="22"/>
          <w:u w:val="single"/>
        </w:rPr>
        <w:t>conceptualises</w:t>
      </w:r>
      <w:r>
        <w:rPr>
          <w:b w:val="0"/>
          <w:i w:val="0"/>
          <w:smallCaps w:val="0"/>
          <w:strike w:val="0"/>
          <w:sz w:val="22"/>
          <w:u w:val="single"/>
        </w:rPr>
        <w:t xml:space="preserve"> the political as a  sovereign  instance  that  does  not  allow  for  an outside that would be more than an “inner outside” and an “exception”. On the other </w:t>
      </w:r>
      <w:r>
        <w:rPr>
          <w:b w:val="0"/>
          <w:i w:val="0"/>
          <w:smallCaps w:val="0"/>
          <w:strike w:val="0"/>
          <w:sz w:val="22"/>
          <w:u w:val="single"/>
        </w:rPr>
        <w:t>hand</w:t>
      </w:r>
      <w:r>
        <w:rPr>
          <w:b w:val="0"/>
          <w:i w:val="0"/>
          <w:smallCaps w:val="0"/>
          <w:strike w:val="0"/>
          <w:sz w:val="22"/>
          <w:u w:val="single"/>
        </w:rPr>
        <w:t xml:space="preserve"> </w:t>
      </w:r>
      <w:r>
        <w:rPr>
          <w:b w:val="0"/>
          <w:i w:val="0"/>
          <w:smallCaps w:val="0"/>
          <w:strike w:val="0"/>
          <w:sz w:val="22"/>
          <w:highlight w:val="green"/>
          <w:u w:val="single"/>
        </w:rPr>
        <w:t>his presentation</w:t>
      </w:r>
      <w:r>
        <w:rPr>
          <w:b w:val="0"/>
          <w:i w:val="0"/>
          <w:smallCaps w:val="0"/>
          <w:strike w:val="0"/>
          <w:sz w:val="22"/>
          <w:u w:val="single"/>
        </w:rPr>
        <w:t xml:space="preserve"> of sovereignty </w:t>
      </w:r>
      <w:r>
        <w:rPr>
          <w:b w:val="0"/>
          <w:i w:val="0"/>
          <w:smallCaps w:val="0"/>
          <w:strike w:val="0"/>
          <w:sz w:val="22"/>
          <w:highlight w:val="green"/>
          <w:u w:val="single"/>
        </w:rPr>
        <w:t>is completely limited to</w:t>
      </w:r>
      <w:r>
        <w:rPr>
          <w:b w:val="0"/>
          <w:i w:val="0"/>
          <w:smallCaps w:val="0"/>
          <w:strike w:val="0"/>
          <w:sz w:val="22"/>
          <w:u w:val="single"/>
        </w:rPr>
        <w:t xml:space="preserve"> the decision on the state of </w:t>
      </w:r>
      <w:r>
        <w:rPr>
          <w:b w:val="0"/>
          <w:i w:val="0"/>
          <w:smallCaps w:val="0"/>
          <w:strike w:val="0"/>
          <w:sz w:val="22"/>
          <w:u w:val="single"/>
        </w:rPr>
        <w:t>exeption</w:t>
      </w:r>
      <w:r>
        <w:rPr>
          <w:b w:val="0"/>
          <w:i w:val="0"/>
          <w:smallCaps w:val="0"/>
          <w:strike w:val="0"/>
          <w:sz w:val="22"/>
          <w:u w:val="single"/>
        </w:rPr>
        <w:t xml:space="preserve"> and the killing of </w:t>
      </w:r>
      <w:r>
        <w:rPr>
          <w:b w:val="0"/>
          <w:i w:val="0"/>
          <w:smallCaps w:val="0"/>
          <w:strike w:val="0"/>
          <w:sz w:val="22"/>
          <w:highlight w:val="green"/>
          <w:u w:val="single"/>
        </w:rPr>
        <w:t>bare life</w:t>
      </w:r>
      <w:r>
        <w:rPr>
          <w:b w:val="0"/>
          <w:i w:val="0"/>
          <w:smallCaps w:val="0"/>
          <w:strike w:val="0"/>
          <w:sz w:val="14"/>
          <w:u w:val="none"/>
        </w:rPr>
        <w:t xml:space="preserve">.    </w:t>
      </w:r>
    </w:p>
    <w:p>
      <w:pPr>
        <w:spacing w:after="60"/>
      </w:pPr>
      <w:r>
        <w:rPr>
          <w:b w:val="0"/>
          <w:i w:val="0"/>
          <w:smallCaps w:val="0"/>
          <w:strike w:val="0"/>
          <w:sz w:val="22"/>
          <w:highlight w:val="green"/>
          <w:u w:val="single"/>
        </w:rPr>
        <w:t>As  a  consequence</w:t>
      </w:r>
      <w:r>
        <w:rPr>
          <w:b w:val="0"/>
          <w:i w:val="0"/>
          <w:smallCaps w:val="0"/>
          <w:strike w:val="0"/>
          <w:sz w:val="22"/>
          <w:u w:val="single"/>
        </w:rPr>
        <w:t xml:space="preserve">,  </w:t>
      </w:r>
      <w:r>
        <w:rPr>
          <w:b/>
          <w:i w:val="0"/>
          <w:smallCaps w:val="0"/>
          <w:strike w:val="0"/>
          <w:sz w:val="22"/>
          <w:highlight w:val="green"/>
          <w:u w:val="single"/>
        </w:rPr>
        <w:t>Agamben  presents  a  distorted picture</w:t>
      </w:r>
      <w:r>
        <w:rPr>
          <w:b w:val="0"/>
          <w:i w:val="0"/>
          <w:smallCaps w:val="0"/>
          <w:strike w:val="0"/>
          <w:sz w:val="14"/>
          <w:u w:val="none"/>
        </w:rPr>
        <w:t xml:space="preserve">. </w:t>
      </w:r>
      <w:r>
        <w:rPr>
          <w:b w:val="0"/>
          <w:i w:val="0"/>
          <w:smallCaps w:val="0"/>
          <w:strike w:val="0"/>
          <w:sz w:val="22"/>
          <w:u w:val="single"/>
        </w:rPr>
        <w:t xml:space="preserve">The main danger today may not be that the body or its organs are targets of  a  distinctive  state  politics  (1998:  164-5),  but – quite the contrary – that we are witnessing  an  important  transformation  of  the  state  under  the  sign  of  deregulation,  </w:t>
      </w:r>
      <w:r>
        <w:rPr>
          <w:b w:val="0"/>
          <w:i w:val="0"/>
          <w:smallCaps w:val="0"/>
          <w:strike w:val="0"/>
          <w:sz w:val="22"/>
          <w:u w:val="single"/>
        </w:rPr>
        <w:t>privatisation</w:t>
      </w:r>
      <w:r>
        <w:rPr>
          <w:b w:val="0"/>
          <w:i w:val="0"/>
          <w:smallCaps w:val="0"/>
          <w:strike w:val="0"/>
          <w:sz w:val="22"/>
          <w:u w:val="single"/>
        </w:rPr>
        <w:t xml:space="preserve">  and </w:t>
      </w:r>
      <w:r>
        <w:rPr>
          <w:b w:val="0"/>
          <w:i w:val="0"/>
          <w:smallCaps w:val="0"/>
          <w:strike w:val="0"/>
          <w:sz w:val="22"/>
          <w:u w:val="single"/>
        </w:rPr>
        <w:t>liberalisation</w:t>
      </w:r>
      <w:r>
        <w:rPr>
          <w:b w:val="0"/>
          <w:i w:val="0"/>
          <w:smallCaps w:val="0"/>
          <w:strike w:val="0"/>
          <w:sz w:val="22"/>
          <w:u w:val="single"/>
        </w:rPr>
        <w:t>.</w:t>
      </w:r>
      <w:r>
        <w:rPr>
          <w:b w:val="0"/>
          <w:i w:val="0"/>
          <w:smallCaps w:val="0"/>
          <w:strike w:val="0"/>
          <w:sz w:val="14"/>
          <w:u w:val="none"/>
        </w:rPr>
        <w:t xml:space="preserve"> It is more and more the scientific consultants, economic interest groups, and  civil  societal  mediators  that  define  the beginning,  the  end,  and  the  value  of  life,  in  consensus  conferences,  expert  commissions,  and ethical counsels. This “withdrawal of the state”  could  itself  be  </w:t>
      </w:r>
      <w:r>
        <w:rPr>
          <w:b w:val="0"/>
          <w:i w:val="0"/>
          <w:smallCaps w:val="0"/>
          <w:strike w:val="0"/>
          <w:sz w:val="14"/>
          <w:u w:val="none"/>
        </w:rPr>
        <w:t>analysed</w:t>
      </w:r>
      <w:r>
        <w:rPr>
          <w:b w:val="0"/>
          <w:i w:val="0"/>
          <w:smallCaps w:val="0"/>
          <w:strike w:val="0"/>
          <w:sz w:val="14"/>
          <w:u w:val="none"/>
        </w:rPr>
        <w:t xml:space="preserve">  as  a  political  strategy,  though  one  that  does  not  </w:t>
      </w:r>
      <w:r>
        <w:rPr>
          <w:b w:val="0"/>
          <w:i w:val="0"/>
          <w:smallCaps w:val="0"/>
          <w:strike w:val="0"/>
          <w:sz w:val="14"/>
          <w:u w:val="none"/>
        </w:rPr>
        <w:t>necessar-ily</w:t>
      </w:r>
      <w:r>
        <w:rPr>
          <w:b w:val="0"/>
          <w:i w:val="0"/>
          <w:smallCaps w:val="0"/>
          <w:strike w:val="0"/>
          <w:sz w:val="14"/>
          <w:u w:val="none"/>
        </w:rPr>
        <w:t xml:space="preserve">  refuse  individuals  legal  rights.  In  a  more  moderate account of exceptionality the suspension of legal rights might remain important in determining who is allowed to become part of a community, who is eligible to legal rights at all. The political strategy, however, that shifts legal and  regulatory  competencies  from  the  public and legal domain to the private sphere, will probably pose a much greater threat in the future. This tendency is already visible; for ex-ample, it is possible for private companies to own and exploit human body substances (see Andrews/Nelkin  2001).  Moreover,  this  tendency can already be traced in examples that Agamben mentions, namely the admissibility of  euthanasia  and  transplantation  medicine.  Here we can expect that a patient’s legal will and  contract  relations  will  take  the  place  of  explicit state prohibitions and regulation. We note that in some countries there is already a public  discussion  to  provide  financial  com-</w:t>
      </w:r>
      <w:r>
        <w:rPr>
          <w:b w:val="0"/>
          <w:i w:val="0"/>
          <w:smallCaps w:val="0"/>
          <w:strike w:val="0"/>
          <w:sz w:val="14"/>
          <w:u w:val="none"/>
        </w:rPr>
        <w:t>pensations</w:t>
      </w:r>
      <w:r>
        <w:rPr>
          <w:b w:val="0"/>
          <w:i w:val="0"/>
          <w:smallCaps w:val="0"/>
          <w:strike w:val="0"/>
          <w:sz w:val="14"/>
          <w:u w:val="none"/>
        </w:rPr>
        <w:t xml:space="preserve"> for individuals who donate organs, and there is a growing consensus in the legal community to accept the will of the patient not to prolong life under certain conditions.8     </w:t>
      </w:r>
    </w:p>
    <w:p>
      <w:pPr>
        <w:spacing w:after="60"/>
      </w:pPr>
      <w:r>
        <w:rPr>
          <w:b w:val="0"/>
          <w:i w:val="0"/>
          <w:smallCaps w:val="0"/>
          <w:strike w:val="0"/>
          <w:sz w:val="22"/>
          <w:highlight w:val="green"/>
          <w:u w:val="single"/>
        </w:rPr>
        <w:t>By</w:t>
      </w:r>
      <w:r>
        <w:rPr>
          <w:b w:val="0"/>
          <w:i w:val="0"/>
          <w:smallCaps w:val="0"/>
          <w:strike w:val="0"/>
          <w:sz w:val="22"/>
          <w:u w:val="single"/>
        </w:rPr>
        <w:t xml:space="preserve">  the  </w:t>
      </w:r>
      <w:r>
        <w:rPr>
          <w:b w:val="0"/>
          <w:i w:val="0"/>
          <w:smallCaps w:val="0"/>
          <w:strike w:val="0"/>
          <w:sz w:val="22"/>
          <w:highlight w:val="green"/>
          <w:u w:val="single"/>
        </w:rPr>
        <w:t>analytical</w:t>
      </w:r>
      <w:r>
        <w:rPr>
          <w:b w:val="0"/>
          <w:i w:val="0"/>
          <w:smallCaps w:val="0"/>
          <w:strike w:val="0"/>
          <w:sz w:val="22"/>
          <w:u w:val="single"/>
        </w:rPr>
        <w:t xml:space="preserve">  </w:t>
      </w:r>
      <w:r>
        <w:rPr>
          <w:b w:val="0"/>
          <w:i w:val="0"/>
          <w:smallCaps w:val="0"/>
          <w:strike w:val="0"/>
          <w:sz w:val="22"/>
          <w:highlight w:val="green"/>
          <w:u w:val="single"/>
        </w:rPr>
        <w:t>focus  on  a  formal  and  repressive  conception</w:t>
      </w:r>
      <w:r>
        <w:rPr>
          <w:b w:val="0"/>
          <w:i w:val="0"/>
          <w:smallCaps w:val="0"/>
          <w:strike w:val="0"/>
          <w:sz w:val="22"/>
          <w:u w:val="single"/>
        </w:rPr>
        <w:t xml:space="preserve">  </w:t>
      </w:r>
      <w:r>
        <w:rPr>
          <w:b w:val="0"/>
          <w:i w:val="0"/>
          <w:smallCaps w:val="0"/>
          <w:strike w:val="0"/>
          <w:sz w:val="22"/>
          <w:highlight w:val="green"/>
          <w:u w:val="single"/>
        </w:rPr>
        <w:t xml:space="preserve">of  the  state  and  </w:t>
      </w:r>
      <w:r>
        <w:rPr>
          <w:b w:val="0"/>
          <w:i w:val="0"/>
          <w:smallCaps w:val="0"/>
          <w:strike w:val="0"/>
          <w:sz w:val="22"/>
          <w:u w:val="single"/>
        </w:rPr>
        <w:t xml:space="preserve">the  </w:t>
      </w:r>
      <w:r>
        <w:rPr>
          <w:b w:val="0"/>
          <w:i w:val="0"/>
          <w:smallCaps w:val="0"/>
          <w:strike w:val="0"/>
          <w:sz w:val="22"/>
          <w:highlight w:val="green"/>
          <w:u w:val="single"/>
        </w:rPr>
        <w:t xml:space="preserve">theoretical  fixation  on  the  sovereign  border  between life and death, </w:t>
      </w:r>
      <w:r>
        <w:rPr>
          <w:b/>
          <w:i w:val="0"/>
          <w:smallCaps w:val="0"/>
          <w:strike w:val="0"/>
          <w:sz w:val="22"/>
          <w:highlight w:val="green"/>
          <w:u w:val="single"/>
        </w:rPr>
        <w:t>Agamben fails to see the limits of his own argumentation</w:t>
      </w:r>
      <w:r>
        <w:rPr>
          <w:b/>
          <w:i w:val="0"/>
          <w:smallCaps w:val="0"/>
          <w:strike w:val="0"/>
          <w:sz w:val="22"/>
          <w:u w:val="single"/>
        </w:rPr>
        <w:t xml:space="preserve">. </w:t>
      </w:r>
      <w:r>
        <w:rPr>
          <w:b/>
          <w:i w:val="0"/>
          <w:smallCaps w:val="0"/>
          <w:strike w:val="0"/>
          <w:sz w:val="22"/>
          <w:highlight w:val="green"/>
          <w:u w:val="single"/>
        </w:rPr>
        <w:t>Not</w:t>
      </w:r>
      <w:r>
        <w:rPr>
          <w:b/>
          <w:i w:val="0"/>
          <w:smallCaps w:val="0"/>
          <w:strike w:val="0"/>
          <w:sz w:val="22"/>
          <w:u w:val="single"/>
        </w:rPr>
        <w:t xml:space="preserve"> </w:t>
      </w:r>
      <w:r>
        <w:rPr>
          <w:b/>
          <w:i w:val="0"/>
          <w:smallCaps w:val="0"/>
          <w:strike w:val="0"/>
          <w:sz w:val="22"/>
          <w:highlight w:val="green"/>
          <w:u w:val="single"/>
        </w:rPr>
        <w:t>every</w:t>
      </w:r>
      <w:r>
        <w:rPr>
          <w:b/>
          <w:i w:val="0"/>
          <w:smallCaps w:val="0"/>
          <w:strike w:val="0"/>
          <w:sz w:val="22"/>
          <w:u w:val="single"/>
        </w:rPr>
        <w:t xml:space="preserve"> single form of </w:t>
      </w:r>
      <w:r>
        <w:rPr>
          <w:b/>
          <w:i w:val="0"/>
          <w:smallCaps w:val="0"/>
          <w:strike w:val="0"/>
          <w:sz w:val="22"/>
          <w:highlight w:val="green"/>
          <w:u w:val="single"/>
        </w:rPr>
        <w:t>exclusion</w:t>
      </w:r>
      <w:r>
        <w:rPr>
          <w:b/>
          <w:i w:val="0"/>
          <w:smallCaps w:val="0"/>
          <w:strike w:val="0"/>
          <w:sz w:val="22"/>
          <w:u w:val="single"/>
        </w:rPr>
        <w:t xml:space="preserve"> </w:t>
      </w:r>
      <w:r>
        <w:rPr>
          <w:b/>
          <w:i w:val="0"/>
          <w:smallCaps w:val="0"/>
          <w:strike w:val="0"/>
          <w:sz w:val="22"/>
          <w:highlight w:val="green"/>
          <w:u w:val="single"/>
        </w:rPr>
        <w:t>needs to be grounded in</w:t>
      </w:r>
      <w:r>
        <w:rPr>
          <w:b/>
          <w:i w:val="0"/>
          <w:smallCaps w:val="0"/>
          <w:strike w:val="0"/>
          <w:sz w:val="22"/>
          <w:u w:val="single"/>
        </w:rPr>
        <w:t xml:space="preserve"> </w:t>
      </w:r>
      <w:r>
        <w:rPr>
          <w:b w:val="0"/>
          <w:i w:val="0"/>
          <w:smallCaps w:val="0"/>
          <w:strike w:val="0"/>
          <w:sz w:val="22"/>
          <w:u w:val="single"/>
        </w:rPr>
        <w:t xml:space="preserve">legal </w:t>
      </w:r>
      <w:r>
        <w:rPr>
          <w:b w:val="0"/>
          <w:i w:val="0"/>
          <w:smallCaps w:val="0"/>
          <w:strike w:val="0"/>
          <w:sz w:val="22"/>
          <w:u w:val="single"/>
        </w:rPr>
        <w:t>regulations, or</w:t>
      </w:r>
      <w:r>
        <w:rPr>
          <w:b w:val="0"/>
          <w:i w:val="0"/>
          <w:smallCaps w:val="0"/>
          <w:strike w:val="0"/>
          <w:sz w:val="22"/>
          <w:u w:val="single"/>
        </w:rPr>
        <w:t xml:space="preserve"> necessitate a </w:t>
      </w:r>
      <w:r>
        <w:rPr>
          <w:b/>
          <w:i w:val="0"/>
          <w:smallCaps w:val="0"/>
          <w:strike w:val="0"/>
          <w:sz w:val="22"/>
          <w:highlight w:val="green"/>
          <w:u w:val="single"/>
        </w:rPr>
        <w:t>suspension of  law</w:t>
      </w:r>
      <w:r>
        <w:rPr>
          <w:b w:val="0"/>
          <w:i w:val="0"/>
          <w:smallCaps w:val="0"/>
          <w:strike w:val="0"/>
          <w:sz w:val="22"/>
          <w:u w:val="single"/>
        </w:rPr>
        <w:t xml:space="preserve">.  </w:t>
      </w:r>
      <w:r>
        <w:rPr>
          <w:b w:val="0"/>
          <w:i w:val="0"/>
          <w:smallCaps w:val="0"/>
          <w:strike w:val="0"/>
          <w:sz w:val="22"/>
          <w:highlight w:val="green"/>
          <w:u w:val="single"/>
        </w:rPr>
        <w:t>Sovereignty</w:t>
      </w:r>
      <w:r>
        <w:rPr>
          <w:b w:val="0"/>
          <w:i w:val="0"/>
          <w:smallCaps w:val="0"/>
          <w:strike w:val="0"/>
          <w:sz w:val="22"/>
          <w:u w:val="single"/>
        </w:rPr>
        <w:t xml:space="preserve">  does</w:t>
      </w:r>
      <w:r>
        <w:rPr>
          <w:b w:val="0"/>
          <w:i w:val="0"/>
          <w:smallCaps w:val="0"/>
          <w:strike w:val="0"/>
          <w:sz w:val="22"/>
          <w:u w:val="single"/>
        </w:rPr>
        <w:t xml:space="preserve">  not  only  reside  in  political  instances  and  state  agencies,  it  </w:t>
      </w:r>
      <w:r>
        <w:rPr>
          <w:b w:val="0"/>
          <w:i w:val="0"/>
          <w:smallCaps w:val="0"/>
          <w:strike w:val="0"/>
          <w:sz w:val="22"/>
          <w:highlight w:val="green"/>
          <w:u w:val="single"/>
        </w:rPr>
        <w:t>also  dwells in</w:t>
      </w:r>
      <w:r>
        <w:rPr>
          <w:b w:val="0"/>
          <w:i w:val="0"/>
          <w:smallCaps w:val="0"/>
          <w:strike w:val="0"/>
          <w:sz w:val="22"/>
          <w:u w:val="single"/>
        </w:rPr>
        <w:t xml:space="preserve"> “</w:t>
      </w:r>
      <w:r>
        <w:rPr>
          <w:b w:val="0"/>
          <w:i w:val="0"/>
          <w:smallCaps w:val="0"/>
          <w:strike w:val="0"/>
          <w:sz w:val="22"/>
          <w:highlight w:val="green"/>
          <w:u w:val="single"/>
        </w:rPr>
        <w:t>life politics</w:t>
      </w:r>
      <w:r>
        <w:rPr>
          <w:b w:val="0"/>
          <w:i w:val="0"/>
          <w:smallCaps w:val="0"/>
          <w:strike w:val="0"/>
          <w:sz w:val="22"/>
          <w:u w:val="single"/>
        </w:rPr>
        <w:t xml:space="preserve">” (Giddens 1991: 209-31)  of  sovereign  subjects  who  are  expected  to  act  in  </w:t>
      </w:r>
      <w:r>
        <w:rPr>
          <w:b w:val="0"/>
          <w:i w:val="0"/>
          <w:smallCaps w:val="0"/>
          <w:strike w:val="0"/>
          <w:sz w:val="22"/>
          <w:u w:val="single"/>
        </w:rPr>
        <w:t>a</w:t>
      </w:r>
      <w:r>
        <w:rPr>
          <w:b w:val="0"/>
          <w:i w:val="0"/>
          <w:smallCaps w:val="0"/>
          <w:strike w:val="0"/>
          <w:sz w:val="22"/>
          <w:u w:val="single"/>
        </w:rPr>
        <w:t xml:space="preserve">  autonomous  ways  as  individuals.  We are not only subjected to political mecha-</w:t>
      </w:r>
      <w:r>
        <w:rPr>
          <w:b w:val="0"/>
          <w:i w:val="0"/>
          <w:smallCaps w:val="0"/>
          <w:strike w:val="0"/>
          <w:sz w:val="22"/>
          <w:u w:val="single"/>
        </w:rPr>
        <w:t>nisms</w:t>
      </w:r>
      <w:r>
        <w:rPr>
          <w:b w:val="0"/>
          <w:i w:val="0"/>
          <w:smallCaps w:val="0"/>
          <w:strike w:val="0"/>
          <w:sz w:val="22"/>
          <w:u w:val="single"/>
        </w:rPr>
        <w:t xml:space="preserve">  that  regulate  and  restrict  our  physical  life;  we  are  also  inscribed  in  what  Foucault  called “arts of government” that direct how to </w:t>
      </w:r>
      <w:r>
        <w:rPr>
          <w:b w:val="0"/>
          <w:i w:val="0"/>
          <w:smallCaps w:val="0"/>
          <w:strike w:val="0"/>
          <w:sz w:val="22"/>
          <w:u w:val="single"/>
        </w:rPr>
        <w:t>refl</w:t>
      </w:r>
      <w:r>
        <w:rPr>
          <w:b w:val="0"/>
          <w:i w:val="0"/>
          <w:smallCaps w:val="0"/>
          <w:strike w:val="0"/>
          <w:sz w:val="22"/>
          <w:u w:val="single"/>
        </w:rPr>
        <w:t xml:space="preserve"> </w:t>
      </w:r>
      <w:r>
        <w:rPr>
          <w:b w:val="0"/>
          <w:i w:val="0"/>
          <w:smallCaps w:val="0"/>
          <w:strike w:val="0"/>
          <w:sz w:val="22"/>
          <w:u w:val="single"/>
        </w:rPr>
        <w:t>ect</w:t>
      </w:r>
      <w:r>
        <w:rPr>
          <w:b w:val="0"/>
          <w:i w:val="0"/>
          <w:smallCaps w:val="0"/>
          <w:strike w:val="0"/>
          <w:sz w:val="22"/>
          <w:u w:val="single"/>
        </w:rPr>
        <w:t xml:space="preserve"> ourselves as moral persons and parts of collective subjectivities (see Foucault 2004a). In  fact,  Foucault  regarded  </w:t>
      </w:r>
      <w:r>
        <w:rPr>
          <w:b w:val="0"/>
          <w:i w:val="0"/>
          <w:smallCaps w:val="0"/>
          <w:strike w:val="0"/>
          <w:sz w:val="22"/>
          <w:u w:val="single"/>
        </w:rPr>
        <w:t>biopolitics  as  an  essential part of the liberal art of government</w:t>
      </w:r>
      <w:r>
        <w:rPr>
          <w:b w:val="0"/>
          <w:i w:val="0"/>
          <w:smallCaps w:val="0"/>
          <w:strike w:val="0"/>
          <w:sz w:val="22"/>
          <w:u w:val="single"/>
        </w:rPr>
        <w:t xml:space="preserve"> </w:t>
      </w:r>
      <w:r>
        <w:rPr>
          <w:b w:val="0"/>
          <w:i w:val="0"/>
          <w:smallCaps w:val="0"/>
          <w:strike w:val="0"/>
          <w:sz w:val="14"/>
          <w:u w:val="none"/>
        </w:rPr>
        <w:t xml:space="preserve">(see Foucault 2004b, pp. 3-28).     </w:t>
      </w:r>
    </w:p>
    <w:p>
      <w:pPr>
        <w:spacing w:after="60"/>
      </w:pPr>
      <w:r>
        <w:rPr>
          <w:b w:val="0"/>
          <w:i w:val="0"/>
          <w:smallCaps w:val="0"/>
          <w:strike w:val="0"/>
          <w:sz w:val="14"/>
          <w:u w:val="none"/>
        </w:rPr>
        <w:t xml:space="preserve">Yet,  although  </w:t>
      </w:r>
      <w:r>
        <w:rPr>
          <w:b w:val="0"/>
          <w:i w:val="0"/>
          <w:smallCaps w:val="0"/>
          <w:strike w:val="0"/>
          <w:sz w:val="22"/>
          <w:u w:val="single"/>
        </w:rPr>
        <w:t xml:space="preserve">the  </w:t>
      </w:r>
      <w:r>
        <w:rPr>
          <w:b w:val="0"/>
          <w:i w:val="0"/>
          <w:smallCaps w:val="0"/>
          <w:strike w:val="0"/>
          <w:sz w:val="22"/>
          <w:highlight w:val="green"/>
          <w:u w:val="single"/>
        </w:rPr>
        <w:t>social  dynamics</w:t>
      </w:r>
      <w:r>
        <w:rPr>
          <w:b w:val="0"/>
          <w:i w:val="0"/>
          <w:smallCaps w:val="0"/>
          <w:strike w:val="0"/>
          <w:sz w:val="22"/>
          <w:u w:val="single"/>
        </w:rPr>
        <w:t xml:space="preserve">  of  the  relations  </w:t>
      </w:r>
      <w:r>
        <w:rPr>
          <w:b w:val="0"/>
          <w:i w:val="0"/>
          <w:smallCaps w:val="0"/>
          <w:strike w:val="0"/>
          <w:sz w:val="22"/>
          <w:highlight w:val="green"/>
          <w:u w:val="single"/>
        </w:rPr>
        <w:t>between  bare  life</w:t>
      </w:r>
      <w:r>
        <w:rPr>
          <w:b w:val="0"/>
          <w:i w:val="0"/>
          <w:smallCaps w:val="0"/>
          <w:strike w:val="0"/>
          <w:sz w:val="22"/>
          <w:u w:val="single"/>
        </w:rPr>
        <w:t xml:space="preserve">  and  political  existence, between technologies of the self and political rationalities, </w:t>
      </w:r>
      <w:r>
        <w:rPr>
          <w:b w:val="0"/>
          <w:i w:val="0"/>
          <w:smallCaps w:val="0"/>
          <w:strike w:val="0"/>
          <w:sz w:val="22"/>
          <w:highlight w:val="green"/>
          <w:u w:val="single"/>
        </w:rPr>
        <w:t>remain</w:t>
      </w:r>
      <w:r>
        <w:rPr>
          <w:b w:val="0"/>
          <w:i w:val="0"/>
          <w:smallCaps w:val="0"/>
          <w:strike w:val="0"/>
          <w:sz w:val="22"/>
          <w:u w:val="single"/>
        </w:rPr>
        <w:t xml:space="preserve"> theoretically </w:t>
      </w:r>
      <w:r>
        <w:rPr>
          <w:b w:val="0"/>
          <w:i w:val="0"/>
          <w:smallCaps w:val="0"/>
          <w:strike w:val="0"/>
          <w:sz w:val="22"/>
          <w:highlight w:val="green"/>
          <w:u w:val="single"/>
        </w:rPr>
        <w:t>underdeveloped in Agamben’s work</w:t>
      </w:r>
      <w:r>
        <w:rPr>
          <w:b w:val="0"/>
          <w:i w:val="0"/>
          <w:smallCaps w:val="0"/>
          <w:strike w:val="0"/>
          <w:sz w:val="22"/>
          <w:u w:val="single"/>
        </w:rPr>
        <w:t xml:space="preserve">, his theory </w:t>
      </w:r>
      <w:r>
        <w:rPr>
          <w:b w:val="0"/>
          <w:i w:val="0"/>
          <w:smallCaps w:val="0"/>
          <w:strike w:val="0"/>
          <w:sz w:val="22"/>
          <w:u w:val="single"/>
        </w:rPr>
        <w:t>recognises</w:t>
      </w:r>
      <w:r>
        <w:rPr>
          <w:b w:val="0"/>
          <w:i w:val="0"/>
          <w:smallCaps w:val="0"/>
          <w:strike w:val="0"/>
          <w:sz w:val="14"/>
          <w:u w:val="none"/>
        </w:rPr>
        <w:t xml:space="preserve">  that  it  is  not  sufficient  to  simply  extend  legal  rights  to  those  excluded.  </w:t>
      </w:r>
      <w:r>
        <w:rPr>
          <w:b w:val="0"/>
          <w:i w:val="0"/>
          <w:smallCaps w:val="0"/>
          <w:strike w:val="0"/>
          <w:sz w:val="22"/>
          <w:u w:val="single"/>
        </w:rPr>
        <w:t>What  is needed, however, is what Foucault called a “new right” (1997: 35) that suspends the difference between human being and citizen and overcomes  a  legal  concept  that  permanently  re-inscribes  the  separation  between  natural  existence and political life.</w:t>
      </w:r>
    </w:p>
    <w:p>
      <w:pPr>
        <w:pStyle w:val="Caption"/>
      </w:pPr>
      <w:r>
        <w:t>Source: Biopolitics Kritik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