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IPR is redeemable (the perm would sound something like: “do the Plan through the lens of the alt” or “do the Plan as an endorsement of </w:t>
      </w:r>
      <w:r>
        <w:rPr>
          <w:b/>
          <w:i w:val="0"/>
          <w:smallCaps w:val="0"/>
          <w:strike w:val="0"/>
          <w:sz w:val="26"/>
          <w:u w:val="none"/>
        </w:rPr>
        <w:t>postneoliberalism</w:t>
      </w:r>
      <w:r>
        <w:rPr>
          <w:b/>
          <w:i w:val="0"/>
          <w:smallCaps w:val="0"/>
          <w:strike w:val="0"/>
          <w:sz w:val="26"/>
          <w:u w:val="none"/>
        </w:rPr>
        <w:t>”)</w:t>
      </w:r>
    </w:p>
    <w:p>
      <w:pPr>
        <w:spacing w:after="80"/>
      </w:pPr>
      <w:r>
        <w:rPr>
          <w:b/>
          <w:i w:val="0"/>
          <w:smallCaps w:val="0"/>
          <w:strike w:val="0"/>
          <w:sz w:val="26"/>
          <w:u w:val="none"/>
        </w:rPr>
        <w:t>Kapczynski 14</w:t>
      </w:r>
      <w:r>
        <w:rPr>
          <w:b w:val="0"/>
          <w:i w:val="0"/>
          <w:smallCaps w:val="0"/>
          <w:strike w:val="0"/>
          <w:u w:val="none"/>
        </w:rPr>
        <w:t xml:space="preserve"> – JD at Yale Law, MA, MPhil at Cambridge, AB at Princeton, Professor of Law at Yale Law School, Faculty Co-Director of the Law and Political Economy Project, cofounder of the Law and Political Economy blog, Faculty Co-Director of the Global Health Justice Partnership, previously served as a law clerk at the U.S. Supreme Court and on the U.S. Court of Appeals for the Second Circuit (Amy Kapczynski, January 2014, "Intellectual Property's Leviathan", Duke University School of Law, </w:t>
      </w:r>
      <w:r>
        <w:rPr>
          <w:b w:val="0"/>
          <w:i w:val="0"/>
          <w:smallCaps w:val="0"/>
          <w:strike w:val="0"/>
          <w:u w:val="none"/>
        </w:rPr>
        <w:t>https://scholarship.law.duke.edu/cgi/viewcontent.cgi?referer=&amp;httpsredir=1&amp;article=4710&amp;context=lcp</w:t>
      </w:r>
      <w:r>
        <w:rPr>
          <w:b w:val="0"/>
          <w:i w:val="0"/>
          <w:smallCaps w:val="0"/>
          <w:strike w:val="0"/>
          <w:u w:val="none"/>
        </w:rPr>
        <w:t>)</w:t>
      </w:r>
    </w:p>
    <w:p>
      <w:pPr>
        <w:spacing w:after="60"/>
      </w:pPr>
      <w:r>
        <w:rPr>
          <w:b w:val="0"/>
          <w:i w:val="0"/>
          <w:smallCaps w:val="0"/>
          <w:strike w:val="0"/>
          <w:sz w:val="22"/>
          <w:u w:val="single"/>
        </w:rPr>
        <w:t>The capable state is a concept that we seem to be unable to live without,</w:t>
      </w:r>
      <w:r>
        <w:rPr>
          <w:b w:val="0"/>
          <w:i w:val="0"/>
          <w:smallCaps w:val="0"/>
          <w:strike w:val="0"/>
          <w:sz w:val="14"/>
          <w:u w:val="none"/>
        </w:rPr>
        <w:t xml:space="preserve"> though this is admittedly not the same thing as showing that such a state does or could exist. </w:t>
      </w:r>
      <w:r>
        <w:rPr>
          <w:b w:val="0"/>
          <w:i w:val="0"/>
          <w:smallCaps w:val="0"/>
          <w:strike w:val="0"/>
          <w:sz w:val="22"/>
          <w:u w:val="single"/>
        </w:rPr>
        <w:t>There are, however, empirical reasons to resist the notion that the state is incapable of playing a major and positive role in information policy,</w:t>
      </w:r>
      <w:r>
        <w:rPr>
          <w:b w:val="0"/>
          <w:i w:val="0"/>
          <w:smallCaps w:val="0"/>
          <w:strike w:val="0"/>
          <w:sz w:val="14"/>
          <w:u w:val="none"/>
        </w:rPr>
        <w:t xml:space="preserve"> and not just because the state must be involved in any such scheme, including that of creating exclusion rights. Might it be that the modern state is in fact better at directly promoting innovation than it is at creating private property rights that are well-configured do the same? After all, the same state that gave us the "Mickey Mouse” Copyright Term Extension Act, which lengthened copyright protection by two decades, not only prospectively but also retroactively (to better incentivize Walt Disney, God rest his soul?), has also funded agencies like the National Institutes of Health, the National Science Foundation, and (more ominously), Defense Advanced Research Projects Agency, which are widely credited with the foundational advances that made the networked information age and the biotech age possible." </w:t>
      </w:r>
      <w:r>
        <w:rPr>
          <w:b w:val="0"/>
          <w:i w:val="0"/>
          <w:smallCaps w:val="0"/>
          <w:strike w:val="0"/>
          <w:sz w:val="22"/>
          <w:u w:val="single"/>
        </w:rPr>
        <w:t xml:space="preserve">Governments today fund not only </w:t>
      </w:r>
      <w:r>
        <w:rPr>
          <w:b w:val="0"/>
          <w:i w:val="0"/>
          <w:smallCaps w:val="0"/>
          <w:strike w:val="0"/>
          <w:sz w:val="22"/>
          <w:u w:val="single"/>
        </w:rPr>
        <w:t>blue sky</w:t>
      </w:r>
      <w:r>
        <w:rPr>
          <w:b w:val="0"/>
          <w:i w:val="0"/>
          <w:smallCaps w:val="0"/>
          <w:strike w:val="0"/>
          <w:sz w:val="22"/>
          <w:u w:val="single"/>
        </w:rPr>
        <w:t xml:space="preserve"> research, but also “mission-oriented research,”</w:t>
      </w:r>
      <w:r>
        <w:rPr>
          <w:b w:val="0"/>
          <w:i w:val="0"/>
          <w:smallCaps w:val="0"/>
          <w:strike w:val="0"/>
          <w:sz w:val="14"/>
          <w:u w:val="none"/>
        </w:rPr>
        <w:t xml:space="preserve"> with particular goals in fields like health and energy, </w:t>
      </w:r>
      <w:r>
        <w:rPr>
          <w:b w:val="0"/>
          <w:i w:val="0"/>
          <w:smallCaps w:val="0"/>
          <w:strike w:val="0"/>
          <w:sz w:val="22"/>
          <w:u w:val="single"/>
        </w:rPr>
        <w:t>where their role is critical</w:t>
      </w:r>
      <w:r>
        <w:rPr>
          <w:b w:val="0"/>
          <w:i w:val="0"/>
          <w:smallCaps w:val="0"/>
          <w:strike w:val="0"/>
          <w:sz w:val="14"/>
          <w:u w:val="none"/>
        </w:rPr>
        <w:t xml:space="preserve"> not because possible applications are distant in time, but </w:t>
      </w:r>
      <w:r>
        <w:rPr>
          <w:b w:val="0"/>
          <w:i w:val="0"/>
          <w:smallCaps w:val="0"/>
          <w:strike w:val="0"/>
          <w:sz w:val="22"/>
          <w:u w:val="single"/>
        </w:rPr>
        <w:t>because their social value is hard to internalize even in the presence of private intellectual property rights, or because the private sector is more risk-averse than is government." 67</w:t>
      </w:r>
    </w:p>
    <w:p>
      <w:pPr>
        <w:spacing w:after="60"/>
      </w:pPr>
      <w:r>
        <w:rPr>
          <w:b w:val="0"/>
          <w:i w:val="0"/>
          <w:smallCaps w:val="0"/>
          <w:strike w:val="0"/>
          <w:sz w:val="14"/>
          <w:u w:val="none"/>
        </w:rPr>
        <w:t>It is in some sense no surprise that all of this is not well-profiled in recent debates about information policy and private IP law, particularly in the United States. After all, as Erik Reinart has recently put it:</w:t>
      </w:r>
    </w:p>
    <w:p>
      <w:pPr>
        <w:spacing w:after="60"/>
      </w:pPr>
      <w:r>
        <w:rPr>
          <w:b w:val="0"/>
          <w:i w:val="0"/>
          <w:smallCaps w:val="0"/>
          <w:strike w:val="0"/>
          <w:sz w:val="14"/>
          <w:u w:val="none"/>
        </w:rPr>
        <w:t>[S]</w:t>
      </w:r>
      <w:r>
        <w:rPr>
          <w:b w:val="0"/>
          <w:i w:val="0"/>
          <w:smallCaps w:val="0"/>
          <w:strike w:val="0"/>
          <w:sz w:val="14"/>
          <w:u w:val="none"/>
        </w:rPr>
        <w:t>ince</w:t>
      </w:r>
      <w:r>
        <w:rPr>
          <w:b w:val="0"/>
          <w:i w:val="0"/>
          <w:smallCaps w:val="0"/>
          <w:strike w:val="0"/>
          <w:sz w:val="14"/>
          <w:u w:val="none"/>
        </w:rPr>
        <w:t xml:space="preserve"> its founding fathers, </w:t>
      </w:r>
      <w:r>
        <w:rPr>
          <w:b w:val="0"/>
          <w:i w:val="0"/>
          <w:smallCaps w:val="0"/>
          <w:strike w:val="0"/>
          <w:sz w:val="22"/>
          <w:u w:val="single"/>
        </w:rPr>
        <w:t xml:space="preserve">the United States has always been torn between two traditions, the activist policies of Alexander Hamilton (1755-1804), and Thomas Jefferson's (1743-1826) maxim that 'the government that governs least, governs best.'... </w:t>
      </w:r>
      <w:r>
        <w:rPr>
          <w:b w:val="0"/>
          <w:i w:val="0"/>
          <w:smallCaps w:val="0"/>
          <w:strike w:val="0"/>
          <w:sz w:val="14"/>
          <w:u w:val="none"/>
        </w:rPr>
        <w:t xml:space="preserve">With time and usual American pragmatism, </w:t>
      </w:r>
      <w:r>
        <w:rPr>
          <w:b w:val="0"/>
          <w:i w:val="0"/>
          <w:smallCaps w:val="0"/>
          <w:strike w:val="0"/>
          <w:sz w:val="22"/>
          <w:u w:val="single"/>
        </w:rPr>
        <w:t>this rivalry has been resolved by putting the Jeffersonians in charge of the rhetoric and the Hamiltonians in charge of policy.</w:t>
      </w:r>
    </w:p>
    <w:p>
      <w:pPr>
        <w:spacing w:after="60"/>
      </w:pPr>
      <w:r>
        <w:rPr>
          <w:b w:val="0"/>
          <w:i w:val="0"/>
          <w:smallCaps w:val="0"/>
          <w:strike w:val="0"/>
          <w:sz w:val="14"/>
          <w:u w:val="none"/>
        </w:rPr>
        <w:t xml:space="preserve">This pragmatic accommodation may have a dangerous aspect, if it intersects with neoliberal trends in a way that brings about a state that is less empowered and less worthy of our respect. </w:t>
      </w:r>
      <w:r>
        <w:rPr>
          <w:b w:val="0"/>
          <w:i w:val="0"/>
          <w:smallCaps w:val="0"/>
          <w:strike w:val="0"/>
          <w:sz w:val="22"/>
          <w:u w:val="single"/>
        </w:rPr>
        <w:t>It would not be surprising if there were a self-fulfilling dimension to the neoliberal image of the state.</w:t>
      </w:r>
      <w:r>
        <w:rPr>
          <w:b w:val="0"/>
          <w:i w:val="0"/>
          <w:smallCaps w:val="0"/>
          <w:strike w:val="0"/>
          <w:sz w:val="14"/>
          <w:u w:val="none"/>
        </w:rPr>
        <w:t xml:space="preserve"> If common wisdom suggests that the state is an inertial Leviathan, will the best young minds want to labor in its service?" </w:t>
      </w:r>
      <w:r>
        <w:rPr>
          <w:b w:val="0"/>
          <w:i w:val="0"/>
          <w:smallCaps w:val="0"/>
          <w:strike w:val="0"/>
          <w:sz w:val="22"/>
          <w:u w:val="single"/>
        </w:rPr>
        <w:t>And if skepticism about the abilities of the state leads us to relegate it largely to facilitating the functions of the market, would it be a surprise if this new state were more susceptible to capture?</w:t>
      </w:r>
    </w:p>
    <w:p>
      <w:pPr>
        <w:spacing w:after="60"/>
      </w:pPr>
      <w:r>
        <w:rPr>
          <w:b w:val="0"/>
          <w:i w:val="0"/>
          <w:smallCaps w:val="0"/>
          <w:strike w:val="0"/>
          <w:sz w:val="14"/>
          <w:u w:val="none"/>
        </w:rPr>
        <w:t xml:space="preserve">In these few pages I can do no more than generate some doubt about the neoliberal image of the state that enjoys such currency in contemporary IP literature and beyond. But I hope I have done that. </w:t>
      </w:r>
      <w:r>
        <w:rPr>
          <w:b w:val="0"/>
          <w:i w:val="0"/>
          <w:smallCaps w:val="0"/>
          <w:strike w:val="0"/>
          <w:sz w:val="22"/>
          <w:u w:val="single"/>
        </w:rPr>
        <w:t xml:space="preserve">What is needed in IP scholarship—as elsewhere in legal studies—is a </w:t>
      </w:r>
      <w:r>
        <w:rPr>
          <w:b w:val="0"/>
          <w:i w:val="0"/>
          <w:smallCaps w:val="0"/>
          <w:strike w:val="0"/>
          <w:sz w:val="22"/>
          <w:u w:val="single"/>
        </w:rPr>
        <w:t>postneoliberal</w:t>
      </w:r>
      <w:r>
        <w:rPr>
          <w:b w:val="0"/>
          <w:i w:val="0"/>
          <w:smallCaps w:val="0"/>
          <w:strike w:val="0"/>
          <w:sz w:val="22"/>
          <w:u w:val="single"/>
        </w:rPr>
        <w:t xml:space="preserve"> conception of the state, but one that is attuned to the fact that some aspects of the contemporary state in fact resemble the nightmarish neoliberal image. A call to bring the state back in is</w:t>
      </w:r>
      <w:r>
        <w:rPr>
          <w:b w:val="0"/>
          <w:i w:val="0"/>
          <w:smallCaps w:val="0"/>
          <w:strike w:val="0"/>
          <w:sz w:val="14"/>
          <w:u w:val="none"/>
        </w:rPr>
        <w:t xml:space="preserve"> not a call to dislodge the generative new work being done on the commons, but rather to suggest that there is today no viable form of a </w:t>
      </w:r>
      <w:r>
        <w:rPr>
          <w:b w:val="0"/>
          <w:i w:val="0"/>
          <w:smallCaps w:val="0"/>
          <w:strike w:val="0"/>
          <w:sz w:val="14"/>
          <w:u w:val="none"/>
        </w:rPr>
        <w:t>prepolitical</w:t>
      </w:r>
      <w:r>
        <w:rPr>
          <w:b w:val="0"/>
          <w:i w:val="0"/>
          <w:smallCaps w:val="0"/>
          <w:strike w:val="0"/>
          <w:sz w:val="14"/>
          <w:u w:val="none"/>
        </w:rPr>
        <w:t xml:space="preserve"> commons, and that theorists of the commons need to make space in both their accounts of the commons, and in their </w:t>
      </w:r>
      <w:r>
        <w:rPr>
          <w:b w:val="0"/>
          <w:i w:val="0"/>
          <w:smallCaps w:val="0"/>
          <w:strike w:val="0"/>
          <w:sz w:val="22"/>
          <w:u w:val="single"/>
        </w:rPr>
        <w:t xml:space="preserve">articulations of the political domain that they wish to bring into being, for a </w:t>
      </w:r>
      <w:r>
        <w:rPr>
          <w:b w:val="0"/>
          <w:i w:val="0"/>
          <w:smallCaps w:val="0"/>
          <w:strike w:val="0"/>
          <w:sz w:val="22"/>
          <w:u w:val="single"/>
        </w:rPr>
        <w:t>postneoliberal</w:t>
      </w:r>
      <w:r>
        <w:rPr>
          <w:b w:val="0"/>
          <w:i w:val="0"/>
          <w:smallCaps w:val="0"/>
          <w:strike w:val="0"/>
          <w:sz w:val="22"/>
          <w:u w:val="single"/>
        </w:rPr>
        <w:t xml:space="preserve"> image of the state.</w:t>
      </w:r>
      <w:r>
        <w:rPr>
          <w:b w:val="0"/>
          <w:i w:val="0"/>
          <w:smallCaps w:val="0"/>
          <w:strike w:val="0"/>
          <w:sz w:val="14"/>
          <w:u w:val="none"/>
        </w:rPr>
        <w:t xml:space="preserve"> Can we conceive of—even if we cannot easily achieve a state that is capable of constraining the proliferation of exclusion rights in information and that can support social ordering beyond markets? Is it possible to imagine a state that could temper the tendencies of certain market formations to promote ghastly inequality, environmental collapse, and political corruption of the first rank? If the answer is no, then we should fear grievously for our collective future. In that case, the market and the commons will not be able to save us from the neoliberal Leviathan, and the future of ideas will be bleak indeed.</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