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Recognition of ‘indigenous innovation’ may lead to continual reinventions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Robinson, </w:t>
      </w:r>
      <w:r>
        <w:rPr>
          <w:b w:val="0"/>
          <w:i w:val="0"/>
          <w:smallCaps w:val="0"/>
          <w:strike w:val="0"/>
          <w:u w:val="none"/>
        </w:rPr>
        <w:t>Senior Lecturer in the Institute of Environmental Studies at the University of New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South Wales,</w:t>
      </w:r>
      <w:r>
        <w:rPr>
          <w:b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 xml:space="preserve">2020 </w:t>
      </w:r>
      <w:r>
        <w:rPr>
          <w:b w:val="0"/>
          <w:i w:val="0"/>
          <w:smallCaps w:val="0"/>
          <w:strike w:val="0"/>
          <w:sz w:val="22"/>
          <w:u w:val="none"/>
        </w:rPr>
        <w:t>Daniel,</w:t>
      </w:r>
      <w:r>
        <w:rPr>
          <w:b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“Biopiracy and the Innovations of Indigenous Peoples and Local Communities”, Indigenous Peoples' Innovation, ANU Press, </w:t>
      </w:r>
      <w:r>
        <w:rPr>
          <w:b w:val="0"/>
          <w:i w:val="0"/>
          <w:smallCaps w:val="0"/>
          <w:strike w:val="0"/>
          <w:sz w:val="22"/>
          <w:u w:val="none"/>
        </w:rPr>
        <w:t>2020</w:t>
      </w:r>
      <w:r>
        <w:rPr>
          <w:b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 xml:space="preserve">Accessed from JSTOR on </w:t>
      </w:r>
      <w:r>
        <w:rPr>
          <w:b w:val="0"/>
          <w:i w:val="0"/>
          <w:smallCaps w:val="0"/>
          <w:strike w:val="0"/>
          <w:u w:val="none"/>
        </w:rPr>
        <w:t>, 2024 //</w:t>
      </w:r>
      <w:r>
        <w:rPr>
          <w:b w:val="0"/>
          <w:i w:val="0"/>
          <w:smallCaps w:val="0"/>
          <w:strike w:val="0"/>
          <w:u w:val="none"/>
        </w:rPr>
        <w:t>SaChin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Artemisia case does, however, indicate that scientific and traditional innovation systems can interact in mutually beneficial ways.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What is important is that the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terms of the exchange between different parties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is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‘fair and equitable’.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Indeed, there are more cases emerging wherein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researchers or companies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have successfully established mutually beneficial </w:t>
      </w:r>
      <w:r>
        <w:rPr>
          <w:b w:val="0"/>
          <w:i w:val="0"/>
          <w:smallCaps w:val="0"/>
          <w:strike w:val="0"/>
          <w:sz w:val="16"/>
          <w:u w:val="single"/>
        </w:rPr>
        <w:t>arrangements with indigenous communities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(for example, the commercial use of Argan oil for cosmetics by </w:t>
      </w:r>
      <w:r>
        <w:rPr>
          <w:b w:val="0"/>
          <w:i w:val="0"/>
          <w:smallCaps w:val="0"/>
          <w:strike w:val="0"/>
          <w:sz w:val="16"/>
          <w:u w:val="none"/>
        </w:rPr>
        <w:t>Cognis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L’Oreal).35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However,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what is frustrating about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cases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described in this chapter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(and in many other biopiracy cases</w:t>
      </w:r>
      <w:r>
        <w:rPr>
          <w:b w:val="0"/>
          <w:i w:val="0"/>
          <w:smallCaps w:val="0"/>
          <w:strike w:val="0"/>
          <w:sz w:val="16"/>
          <w:u w:val="single"/>
        </w:rPr>
        <w:t>)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is that the ‘traditional’ contribution to the innovation is poorly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recognised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best (as in the </w:t>
      </w:r>
      <w:r>
        <w:rPr>
          <w:b w:val="0"/>
          <w:i w:val="0"/>
          <w:smallCaps w:val="0"/>
          <w:strike w:val="0"/>
          <w:sz w:val="22"/>
          <w:u w:val="single"/>
        </w:rPr>
        <w:t>kwao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krua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case)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and completely ignored in others. If we stopped thinking of the indigenous peoples’ contributions as ‘traditional knowledge’ and formally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recognised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‘indigenous innovation’, we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may well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find some patents and plant variety certificates are never actually granted because of their lack of novelty.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We may </w:t>
      </w:r>
      <w:r>
        <w:rPr>
          <w:b/>
          <w:i w:val="0"/>
          <w:smallCaps w:val="0"/>
          <w:strike w:val="0"/>
          <w:highlight w:val="yellow"/>
          <w:u w:val="single"/>
        </w:rPr>
        <w:t>find that inventiveness and obviousness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perceived differently if 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patent examiners are able to peer through the guise </w:t>
      </w:r>
      <w:r>
        <w:rPr>
          <w:b/>
          <w:i w:val="0"/>
          <w:smallCaps w:val="0"/>
          <w:strike w:val="0"/>
          <w:highlight w:val="yellow"/>
          <w:u w:val="single"/>
        </w:rPr>
        <w:t>of ‘technical’ language</w:t>
      </w:r>
      <w:r>
        <w:rPr>
          <w:b w:val="0"/>
          <w:i w:val="0"/>
          <w:smallCaps w:val="0"/>
          <w:strike w:val="0"/>
          <w:highlight w:val="yellow"/>
          <w:u w:val="single"/>
        </w:rPr>
        <w:t xml:space="preserve"> to see that the wheel is being continually re-invented.</w:t>
      </w:r>
      <w:r>
        <w:rPr>
          <w:b w:val="0"/>
          <w:i w:val="0"/>
          <w:smallCaps w:val="0"/>
          <w:strike w:val="0"/>
          <w:u w:val="single"/>
        </w:rPr>
        <w:t xml:space="preserve"> </w:t>
      </w:r>
    </w:p>
    <w:p>
      <w:pPr>
        <w:pStyle w:val="Caption"/>
      </w:pPr>
      <w:r>
        <w:t>Source: Settler Colonialism K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