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indigenous provide critical potential in gathering biodiversity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Chanachai, </w:t>
      </w:r>
      <w:r>
        <w:rPr>
          <w:b w:val="0"/>
          <w:i w:val="0"/>
          <w:smallCaps w:val="0"/>
          <w:strike w:val="0"/>
          <w:u w:val="none"/>
        </w:rPr>
        <w:t xml:space="preserve">Professional Casual Faculty of Science and Engineering, </w:t>
      </w:r>
      <w:r>
        <w:rPr>
          <w:b w:val="0"/>
          <w:i w:val="0"/>
          <w:smallCaps w:val="0"/>
          <w:strike w:val="0"/>
          <w:u w:val="none"/>
        </w:rPr>
        <w:t>Academic Casual, School of Natural Sciences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Doctor of Philosophy</w:t>
      </w:r>
      <w:r>
        <w:rPr>
          <w:b w:val="0"/>
          <w:i w:val="0"/>
          <w:smallCaps w:val="0"/>
          <w:strike w:val="0"/>
          <w:u w:val="none"/>
        </w:rPr>
        <w:t xml:space="preserve"> at</w:t>
      </w:r>
      <w:r>
        <w:rPr>
          <w:b w:val="0"/>
          <w:i w:val="0"/>
          <w:smallCaps w:val="0"/>
          <w:strike w:val="0"/>
          <w:u w:val="none"/>
        </w:rPr>
        <w:t xml:space="preserve"> Faculty of Science and Engineering</w:t>
      </w:r>
      <w:r>
        <w:rPr>
          <w:b w:val="0"/>
          <w:i w:val="0"/>
          <w:smallCaps w:val="0"/>
          <w:strike w:val="0"/>
          <w:u w:val="none"/>
        </w:rPr>
        <w:t>, at Macquarie University</w:t>
      </w:r>
      <w:r>
        <w:rPr>
          <w:b w:val="0"/>
          <w:i w:val="0"/>
          <w:smallCaps w:val="0"/>
          <w:strike w:val="0"/>
          <w:u w:val="none"/>
        </w:rPr>
        <w:t>, Published July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Jariya et al., “What remains to be discovered: A global assessment of tree species inventory completeness,” Diversity and Distributions, 30, e13862, 2024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Accessed from JSTOR on https://doi.org/10.1111/ddi.13862 on July 25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2024</w:t>
      </w:r>
      <w:r>
        <w:rPr>
          <w:b w:val="0"/>
          <w:i w:val="0"/>
          <w:smallCaps w:val="0"/>
          <w:strike w:val="0"/>
          <w:u w:val="none"/>
        </w:rPr>
        <w:t xml:space="preserve"> //</w:t>
      </w:r>
      <w:r>
        <w:rPr>
          <w:b w:val="0"/>
          <w:i w:val="0"/>
          <w:smallCaps w:val="0"/>
          <w:strike w:val="0"/>
          <w:u w:val="none"/>
        </w:rPr>
        <w:t>SaChin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Systematic approaches to </w:t>
      </w:r>
      <w:r>
        <w:rPr>
          <w:b w:val="0"/>
          <w:i w:val="0"/>
          <w:smallCaps w:val="0"/>
          <w:strike w:val="0"/>
          <w:u w:val="single"/>
        </w:rPr>
        <w:t>data cleaning and quality</w:t>
      </w:r>
      <w:r>
        <w:rPr>
          <w:b w:val="0"/>
          <w:i w:val="0"/>
          <w:smallCaps w:val="0"/>
          <w:strike w:val="0"/>
          <w:u w:val="single"/>
        </w:rPr>
        <w:t xml:space="preserve"> assessment will also be crucial for understanding the uncertainties and biases in occurrence data before they are applied in research,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although there is </w:t>
      </w:r>
      <w:r>
        <w:rPr>
          <w:b/>
          <w:i w:val="0"/>
          <w:smallCaps w:val="0"/>
          <w:strike w:val="0"/>
          <w:highlight w:val="yellow"/>
          <w:u w:val="single"/>
        </w:rPr>
        <w:t>no one-size-fits-all solution to data cleaning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</w:t>
      </w:r>
      <w:r>
        <w:rPr>
          <w:b w:val="0"/>
          <w:i w:val="0"/>
          <w:smallCaps w:val="0"/>
          <w:strike w:val="0"/>
          <w:sz w:val="16"/>
          <w:u w:val="none"/>
        </w:rPr>
        <w:t>Zizka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al., 2020). Other sources of </w:t>
      </w:r>
      <w:r>
        <w:rPr>
          <w:b w:val="0"/>
          <w:i w:val="0"/>
          <w:smallCaps w:val="0"/>
          <w:strike w:val="0"/>
          <w:highlight w:val="yellow"/>
          <w:u w:val="single"/>
        </w:rPr>
        <w:t>valuable biodiversity data</w:t>
      </w:r>
      <w:r>
        <w:rPr>
          <w:b w:val="0"/>
          <w:i w:val="0"/>
          <w:smallCaps w:val="0"/>
          <w:strike w:val="0"/>
          <w:u w:val="single"/>
        </w:rPr>
        <w:t xml:space="preserve">, many of which are housed in natural history collections waiting to be identified, </w:t>
      </w:r>
      <w:r>
        <w:rPr>
          <w:b/>
          <w:i w:val="0"/>
          <w:smallCaps w:val="0"/>
          <w:strike w:val="0"/>
          <w:highlight w:val="yellow"/>
          <w:u w:val="single"/>
        </w:rPr>
        <w:t>should be made available in digital format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this effort should be supported sufficiently by funders (Sousa-Baena et al., 2014). Furthermore, with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more emphasis on </w:t>
      </w:r>
      <w:r>
        <w:rPr>
          <w:b/>
          <w:i w:val="0"/>
          <w:smallCaps w:val="0"/>
          <w:strike w:val="0"/>
          <w:highlight w:val="yellow"/>
          <w:u w:val="single"/>
        </w:rPr>
        <w:t>integrating local and Indigenous knowledge with western science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particularly under GBF Target 3, </w:t>
      </w:r>
      <w:r>
        <w:rPr>
          <w:b w:val="0"/>
          <w:i w:val="0"/>
          <w:smallCaps w:val="0"/>
          <w:strike w:val="0"/>
          <w:u w:val="single"/>
        </w:rPr>
        <w:t xml:space="preserve">there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is an opportunity to engage and train </w:t>
      </w:r>
      <w:r>
        <w:rPr>
          <w:b/>
          <w:i w:val="0"/>
          <w:smallCaps w:val="0"/>
          <w:strike w:val="0"/>
          <w:highlight w:val="yellow"/>
          <w:u w:val="single"/>
        </w:rPr>
        <w:t>Indigenous communities to empower their skills</w:t>
      </w:r>
      <w:r>
        <w:rPr>
          <w:b w:val="0"/>
          <w:i w:val="0"/>
          <w:smallCaps w:val="0"/>
          <w:strike w:val="0"/>
          <w:u w:val="single"/>
        </w:rPr>
        <w:t xml:space="preserve"> in collecting species occurrence information, </w:t>
      </w:r>
      <w:r>
        <w:rPr>
          <w:b w:val="0"/>
          <w:i w:val="0"/>
          <w:smallCaps w:val="0"/>
          <w:strike w:val="0"/>
          <w:highlight w:val="yellow"/>
          <w:u w:val="single"/>
        </w:rPr>
        <w:t>especially in poorly sampled regions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(Fauzi et al., 2016). Lastly, a commitment to data sharing should be encouraged, supported and sufficiently funded at regional and national levels to help improve the quality and coverage of </w:t>
      </w:r>
      <w:r>
        <w:rPr>
          <w:b w:val="0"/>
          <w:i w:val="0"/>
          <w:smallCaps w:val="0"/>
          <w:strike w:val="0"/>
          <w:sz w:val="16"/>
          <w:u w:val="none"/>
        </w:rPr>
        <w:t>digitised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biodiversity data, which would greatly benefit future ecological studies, </w:t>
      </w:r>
      <w:r>
        <w:rPr>
          <w:b w:val="0"/>
          <w:i w:val="0"/>
          <w:smallCaps w:val="0"/>
          <w:strike w:val="0"/>
          <w:u w:val="single"/>
        </w:rPr>
        <w:t>conservation planning and monitoring progress towards global biodiversity conservation targets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