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Inequality is </w:t>
      </w:r>
      <w:r>
        <w:rPr>
          <w:b/>
          <w:i w:val="0"/>
          <w:smallCaps w:val="0"/>
          <w:strike w:val="0"/>
          <w:sz w:val="26"/>
          <w:u w:val="single"/>
        </w:rPr>
        <w:t>decreasing</w:t>
      </w:r>
      <w:r>
        <w:rPr>
          <w:b/>
          <w:i w:val="0"/>
          <w:smallCaps w:val="0"/>
          <w:strike w:val="0"/>
          <w:sz w:val="26"/>
          <w:u w:val="none"/>
        </w:rPr>
        <w:t xml:space="preserve">---AFF evidence is </w:t>
      </w:r>
      <w:r>
        <w:rPr>
          <w:b/>
          <w:i w:val="0"/>
          <w:smallCaps w:val="0"/>
          <w:strike w:val="0"/>
          <w:sz w:val="26"/>
          <w:u w:val="single"/>
        </w:rPr>
        <w:t>doomerism</w:t>
      </w:r>
      <w:r>
        <w:rPr>
          <w:b/>
          <w:i w:val="0"/>
          <w:smallCaps w:val="0"/>
          <w:strike w:val="0"/>
          <w:sz w:val="26"/>
          <w:u w:val="none"/>
        </w:rPr>
        <w:t xml:space="preserve">. </w:t>
      </w:r>
    </w:p>
    <w:p>
      <w:pPr>
        <w:spacing w:after="80"/>
      </w:pPr>
      <w:r>
        <w:rPr>
          <w:b w:val="0"/>
          <w:i w:val="0"/>
          <w:smallCaps w:val="0"/>
          <w:strike w:val="0"/>
          <w:u w:val="none"/>
        </w:rPr>
        <w:t xml:space="preserve">James </w:t>
      </w:r>
      <w:r>
        <w:rPr>
          <w:b/>
          <w:i w:val="0"/>
          <w:smallCaps w:val="0"/>
          <w:strike w:val="0"/>
          <w:sz w:val="26"/>
          <w:u w:val="none"/>
        </w:rPr>
        <w:t>Pethokoukis</w:t>
      </w:r>
      <w:r>
        <w:rPr>
          <w:b w:val="0"/>
          <w:i w:val="0"/>
          <w:smallCaps w:val="0"/>
          <w:strike w:val="0"/>
          <w:u w:val="none"/>
        </w:rPr>
        <w:t>, 1-12-20</w:t>
      </w:r>
      <w:r>
        <w:rPr>
          <w:b/>
          <w:i w:val="0"/>
          <w:smallCaps w:val="0"/>
          <w:strike w:val="0"/>
          <w:sz w:val="26"/>
          <w:u w:val="none"/>
        </w:rPr>
        <w:t>24</w:t>
      </w:r>
      <w:r>
        <w:rPr>
          <w:b w:val="0"/>
          <w:i w:val="0"/>
          <w:smallCaps w:val="0"/>
          <w:strike w:val="0"/>
          <w:u w:val="none"/>
        </w:rPr>
        <w:t>, senior fellow and the DeWitt Wallace Chair at the American Enterprise Institute (AEI), where he analyzes US economic policy, "When It Comes to the State of the American Economy, Let’s Keep It Real," American Enterprise Institute - AEI, https://www.aei.org/economics/when-it-comes-to-the-state-of-the-american-economy-lets-keep-it-real/, KL</w:t>
      </w:r>
    </w:p>
    <w:p>
      <w:pPr>
        <w:spacing w:after="60"/>
      </w:pPr>
      <w:r>
        <w:rPr>
          <w:b w:val="0"/>
          <w:i w:val="0"/>
          <w:smallCaps w:val="0"/>
          <w:strike w:val="0"/>
          <w:sz w:val="16"/>
          <w:u w:val="none"/>
        </w:rPr>
        <w:t xml:space="preserve">Of course, if your goal is merely to spread misinformation—kind of common social media—you’re probably not too concerned about getting the facts wrong over and over and over. Such a person is also probably not too interested in info suggesting </w:t>
      </w:r>
      <w:r>
        <w:rPr>
          <w:b/>
          <w:i w:val="0"/>
          <w:smallCaps w:val="0"/>
          <w:strike w:val="0"/>
          <w:sz w:val="24"/>
          <w:u w:val="single"/>
        </w:rPr>
        <w:t xml:space="preserve">American </w:t>
      </w:r>
      <w:r>
        <w:rPr>
          <w:b/>
          <w:i w:val="0"/>
          <w:smallCaps w:val="0"/>
          <w:strike w:val="0"/>
          <w:sz w:val="24"/>
          <w:highlight w:val="cyan"/>
          <w:u w:val="single"/>
        </w:rPr>
        <w:t>poverty</w:t>
      </w:r>
      <w:r>
        <w:rPr>
          <w:b w:val="0"/>
          <w:i w:val="0"/>
          <w:smallCaps w:val="0"/>
          <w:strike w:val="0"/>
          <w:sz w:val="22"/>
          <w:highlight w:val="cyan"/>
          <w:u w:val="single"/>
        </w:rPr>
        <w:t xml:space="preserve"> is </w:t>
      </w:r>
      <w:r>
        <w:rPr>
          <w:b/>
          <w:i w:val="0"/>
          <w:smallCaps w:val="0"/>
          <w:strike w:val="0"/>
          <w:sz w:val="24"/>
          <w:highlight w:val="cyan"/>
          <w:u w:val="single"/>
        </w:rPr>
        <w:t>way lower</w:t>
      </w:r>
      <w:r>
        <w:rPr>
          <w:b w:val="0"/>
          <w:i w:val="0"/>
          <w:smallCaps w:val="0"/>
          <w:strike w:val="0"/>
          <w:sz w:val="22"/>
          <w:highlight w:val="cyan"/>
          <w:u w:val="single"/>
        </w:rPr>
        <w:t xml:space="preserve"> than many</w:t>
      </w:r>
      <w:r>
        <w:rPr>
          <w:b w:val="0"/>
          <w:i w:val="0"/>
          <w:smallCaps w:val="0"/>
          <w:strike w:val="0"/>
          <w:sz w:val="22"/>
          <w:u w:val="single"/>
        </w:rPr>
        <w:t xml:space="preserve"> people </w:t>
      </w:r>
      <w:r>
        <w:rPr>
          <w:b w:val="0"/>
          <w:i w:val="0"/>
          <w:smallCaps w:val="0"/>
          <w:strike w:val="0"/>
          <w:sz w:val="22"/>
          <w:highlight w:val="cyan"/>
          <w:u w:val="single"/>
        </w:rPr>
        <w:t>think</w:t>
      </w:r>
      <w:r>
        <w:rPr>
          <w:b w:val="0"/>
          <w:i w:val="0"/>
          <w:smallCaps w:val="0"/>
          <w:strike w:val="0"/>
          <w:sz w:val="22"/>
          <w:u w:val="single"/>
        </w:rPr>
        <w:t xml:space="preserve">. As a </w:t>
      </w:r>
      <w:r>
        <w:rPr>
          <w:b/>
          <w:i w:val="0"/>
          <w:smallCaps w:val="0"/>
          <w:strike w:val="0"/>
          <w:sz w:val="24"/>
          <w:u w:val="single"/>
        </w:rPr>
        <w:t>group</w:t>
      </w:r>
      <w:r>
        <w:rPr>
          <w:b w:val="0"/>
          <w:i w:val="0"/>
          <w:smallCaps w:val="0"/>
          <w:strike w:val="0"/>
          <w:sz w:val="22"/>
          <w:u w:val="single"/>
        </w:rPr>
        <w:t xml:space="preserve"> of </w:t>
      </w:r>
      <w:r>
        <w:rPr>
          <w:b/>
          <w:i w:val="0"/>
          <w:smallCaps w:val="0"/>
          <w:strike w:val="0"/>
          <w:sz w:val="24"/>
          <w:u w:val="single"/>
        </w:rPr>
        <w:t>economists</w:t>
      </w:r>
      <w:r>
        <w:rPr>
          <w:b w:val="0"/>
          <w:i w:val="0"/>
          <w:smallCaps w:val="0"/>
          <w:strike w:val="0"/>
          <w:sz w:val="22"/>
          <w:u w:val="single"/>
        </w:rPr>
        <w:t xml:space="preserve"> write in the </w:t>
      </w:r>
      <w:r>
        <w:rPr>
          <w:b/>
          <w:i w:val="0"/>
          <w:smallCaps w:val="0"/>
          <w:strike w:val="0"/>
          <w:sz w:val="24"/>
          <w:u w:val="single"/>
        </w:rPr>
        <w:t>new study</w:t>
      </w:r>
      <w:r>
        <w:rPr>
          <w:b w:val="0"/>
          <w:i w:val="0"/>
          <w:smallCaps w:val="0"/>
          <w:strike w:val="0"/>
          <w:sz w:val="22"/>
          <w:u w:val="single"/>
        </w:rPr>
        <w:t xml:space="preserve"> </w:t>
      </w:r>
      <w:r>
        <w:rPr>
          <w:b w:val="0"/>
          <w:i w:val="0"/>
          <w:smallCaps w:val="0"/>
          <w:strike w:val="0"/>
          <w:sz w:val="16"/>
          <w:u w:val="none"/>
        </w:rPr>
        <w:t xml:space="preserve">“Evaluating the Success of the War on Poverty since 1963 Using an Absolute Full-Income Poverty Measure”: “While the official poverty rate fell from 19.5% in 1963 to 10.5% in 2019, </w:t>
      </w:r>
      <w:r>
        <w:rPr>
          <w:b w:val="0"/>
          <w:i w:val="0"/>
          <w:smallCaps w:val="0"/>
          <w:strike w:val="0"/>
          <w:sz w:val="22"/>
          <w:highlight w:val="cyan"/>
          <w:u w:val="single"/>
        </w:rPr>
        <w:t xml:space="preserve">our </w:t>
      </w:r>
      <w:r>
        <w:rPr>
          <w:b/>
          <w:i w:val="0"/>
          <w:smallCaps w:val="0"/>
          <w:strike w:val="0"/>
          <w:sz w:val="24"/>
          <w:highlight w:val="cyan"/>
          <w:u w:val="single"/>
        </w:rPr>
        <w:t>absolute</w:t>
      </w:r>
      <w:r>
        <w:rPr>
          <w:b w:val="0"/>
          <w:i w:val="0"/>
          <w:smallCaps w:val="0"/>
          <w:strike w:val="0"/>
          <w:sz w:val="16"/>
          <w:u w:val="none"/>
        </w:rPr>
        <w:t xml:space="preserve"> full-</w:t>
      </w:r>
      <w:r>
        <w:rPr>
          <w:b/>
          <w:i w:val="0"/>
          <w:smallCaps w:val="0"/>
          <w:strike w:val="0"/>
          <w:sz w:val="24"/>
          <w:u w:val="single"/>
        </w:rPr>
        <w:t xml:space="preserve">income </w:t>
      </w:r>
      <w:r>
        <w:rPr>
          <w:b/>
          <w:i w:val="0"/>
          <w:smallCaps w:val="0"/>
          <w:strike w:val="0"/>
          <w:sz w:val="24"/>
          <w:highlight w:val="cyan"/>
          <w:u w:val="single"/>
        </w:rPr>
        <w:t>poverty</w:t>
      </w:r>
      <w:r>
        <w:rPr>
          <w:b w:val="0"/>
          <w:i w:val="0"/>
          <w:smallCaps w:val="0"/>
          <w:strike w:val="0"/>
          <w:sz w:val="22"/>
          <w:highlight w:val="cyan"/>
          <w:u w:val="single"/>
        </w:rPr>
        <w:t xml:space="preserve"> measure—which uses a </w:t>
      </w:r>
      <w:r>
        <w:rPr>
          <w:b/>
          <w:i w:val="0"/>
          <w:smallCaps w:val="0"/>
          <w:strike w:val="0"/>
          <w:sz w:val="24"/>
          <w:highlight w:val="cyan"/>
          <w:u w:val="single"/>
        </w:rPr>
        <w:t>fuller</w:t>
      </w:r>
      <w:r>
        <w:rPr>
          <w:b w:val="0"/>
          <w:i w:val="0"/>
          <w:smallCaps w:val="0"/>
          <w:strike w:val="0"/>
          <w:sz w:val="22"/>
          <w:u w:val="single"/>
        </w:rPr>
        <w:t xml:space="preserve"> income </w:t>
      </w:r>
      <w:r>
        <w:rPr>
          <w:b w:val="0"/>
          <w:i w:val="0"/>
          <w:smallCaps w:val="0"/>
          <w:strike w:val="0"/>
          <w:sz w:val="22"/>
          <w:highlight w:val="cyan"/>
          <w:u w:val="single"/>
        </w:rPr>
        <w:t>measure</w:t>
      </w:r>
      <w:r>
        <w:rPr>
          <w:b w:val="0"/>
          <w:i w:val="0"/>
          <w:smallCaps w:val="0"/>
          <w:strike w:val="0"/>
          <w:sz w:val="22"/>
          <w:u w:val="single"/>
        </w:rPr>
        <w:t xml:space="preserve"> and updates thresholds</w:t>
      </w:r>
      <w:r>
        <w:rPr>
          <w:b w:val="0"/>
          <w:i w:val="0"/>
          <w:smallCaps w:val="0"/>
          <w:strike w:val="0"/>
          <w:sz w:val="16"/>
          <w:u w:val="none"/>
        </w:rPr>
        <w:t xml:space="preserve"> only </w:t>
      </w:r>
      <w:r>
        <w:rPr>
          <w:b w:val="0"/>
          <w:i w:val="0"/>
          <w:smallCaps w:val="0"/>
          <w:strike w:val="0"/>
          <w:sz w:val="22"/>
          <w:highlight w:val="cyan"/>
          <w:u w:val="single"/>
        </w:rPr>
        <w:t xml:space="preserve">for </w:t>
      </w:r>
      <w:r>
        <w:rPr>
          <w:b/>
          <w:i w:val="0"/>
          <w:smallCaps w:val="0"/>
          <w:strike w:val="0"/>
          <w:sz w:val="24"/>
          <w:highlight w:val="cyan"/>
          <w:u w:val="single"/>
        </w:rPr>
        <w:t>inflation</w:t>
      </w:r>
      <w:r>
        <w:rPr>
          <w:b w:val="0"/>
          <w:i w:val="0"/>
          <w:smallCaps w:val="0"/>
          <w:strike w:val="0"/>
          <w:sz w:val="22"/>
          <w:u w:val="single"/>
        </w:rPr>
        <w:t>—</w:t>
      </w:r>
      <w:r>
        <w:rPr>
          <w:b w:val="0"/>
          <w:i w:val="0"/>
          <w:smallCaps w:val="0"/>
          <w:strike w:val="0"/>
          <w:sz w:val="22"/>
          <w:highlight w:val="cyan"/>
          <w:u w:val="single"/>
        </w:rPr>
        <w:t xml:space="preserve">fell from </w:t>
      </w:r>
      <w:r>
        <w:rPr>
          <w:b/>
          <w:i w:val="0"/>
          <w:smallCaps w:val="0"/>
          <w:strike w:val="0"/>
          <w:sz w:val="24"/>
          <w:highlight w:val="cyan"/>
          <w:u w:val="single"/>
        </w:rPr>
        <w:t>19</w:t>
      </w:r>
      <w:r>
        <w:rPr>
          <w:b w:val="0"/>
          <w:i w:val="0"/>
          <w:smallCaps w:val="0"/>
          <w:strike w:val="0"/>
          <w:sz w:val="16"/>
          <w:u w:val="none"/>
        </w:rPr>
        <w:t>.5</w:t>
      </w:r>
      <w:r>
        <w:rPr>
          <w:b/>
          <w:i w:val="0"/>
          <w:smallCaps w:val="0"/>
          <w:strike w:val="0"/>
          <w:sz w:val="24"/>
          <w:highlight w:val="cyan"/>
          <w:u w:val="single"/>
        </w:rPr>
        <w:t>%</w:t>
      </w:r>
      <w:r>
        <w:rPr>
          <w:b w:val="0"/>
          <w:i w:val="0"/>
          <w:smallCaps w:val="0"/>
          <w:strike w:val="0"/>
          <w:sz w:val="22"/>
          <w:highlight w:val="cyan"/>
          <w:u w:val="single"/>
        </w:rPr>
        <w:t xml:space="preserve"> to </w:t>
      </w:r>
      <w:r>
        <w:rPr>
          <w:b/>
          <w:i w:val="0"/>
          <w:smallCaps w:val="0"/>
          <w:strike w:val="0"/>
          <w:sz w:val="24"/>
          <w:highlight w:val="cyan"/>
          <w:u w:val="single"/>
        </w:rPr>
        <w:t>1.6%</w:t>
      </w:r>
      <w:r>
        <w:rPr>
          <w:b w:val="0"/>
          <w:i w:val="0"/>
          <w:smallCaps w:val="0"/>
          <w:strike w:val="0"/>
          <w:sz w:val="22"/>
          <w:u w:val="single"/>
        </w:rPr>
        <w:t xml:space="preserve">.” </w:t>
      </w:r>
    </w:p>
    <w:p>
      <w:pPr>
        <w:spacing w:after="60"/>
      </w:pPr>
      <w:r>
        <w:rPr>
          <w:b w:val="0"/>
          <w:i w:val="0"/>
          <w:smallCaps w:val="0"/>
          <w:strike w:val="0"/>
          <w:sz w:val="16"/>
          <w:u w:val="none"/>
        </w:rPr>
        <w:t xml:space="preserve">Or how about </w:t>
      </w:r>
      <w:r>
        <w:rPr>
          <w:b w:val="0"/>
          <w:i w:val="0"/>
          <w:smallCaps w:val="0"/>
          <w:strike w:val="0"/>
          <w:sz w:val="22"/>
          <w:u w:val="single"/>
        </w:rPr>
        <w:t xml:space="preserve">a </w:t>
      </w:r>
      <w:r>
        <w:rPr>
          <w:b/>
          <w:i w:val="0"/>
          <w:smallCaps w:val="0"/>
          <w:strike w:val="0"/>
          <w:sz w:val="24"/>
          <w:u w:val="single"/>
        </w:rPr>
        <w:t>recent study</w:t>
      </w:r>
      <w:r>
        <w:rPr>
          <w:b w:val="0"/>
          <w:i w:val="0"/>
          <w:smallCaps w:val="0"/>
          <w:strike w:val="0"/>
          <w:sz w:val="16"/>
          <w:u w:val="none"/>
        </w:rPr>
        <w:t xml:space="preserve"> by Gerald </w:t>
      </w:r>
      <w:r>
        <w:rPr>
          <w:b w:val="0"/>
          <w:i w:val="0"/>
          <w:smallCaps w:val="0"/>
          <w:strike w:val="0"/>
          <w:sz w:val="16"/>
          <w:u w:val="none"/>
        </w:rPr>
        <w:t>Auten</w:t>
      </w:r>
      <w:r>
        <w:rPr>
          <w:b w:val="0"/>
          <w:i w:val="0"/>
          <w:smallCaps w:val="0"/>
          <w:strike w:val="0"/>
          <w:sz w:val="16"/>
          <w:u w:val="none"/>
        </w:rPr>
        <w:t xml:space="preserve"> and David Splinter that </w:t>
      </w:r>
      <w:r>
        <w:rPr>
          <w:b w:val="0"/>
          <w:i w:val="0"/>
          <w:smallCaps w:val="0"/>
          <w:strike w:val="0"/>
          <w:sz w:val="22"/>
          <w:u w:val="single"/>
        </w:rPr>
        <w:t xml:space="preserve">found that </w:t>
      </w:r>
      <w:r>
        <w:rPr>
          <w:b/>
          <w:i w:val="0"/>
          <w:smallCaps w:val="0"/>
          <w:strike w:val="0"/>
          <w:sz w:val="24"/>
          <w:u w:val="single"/>
        </w:rPr>
        <w:t xml:space="preserve">income </w:t>
      </w:r>
      <w:r>
        <w:rPr>
          <w:b/>
          <w:i w:val="0"/>
          <w:smallCaps w:val="0"/>
          <w:strike w:val="0"/>
          <w:sz w:val="24"/>
          <w:highlight w:val="cyan"/>
          <w:u w:val="single"/>
        </w:rPr>
        <w:t>inequality</w:t>
      </w:r>
      <w:r>
        <w:rPr>
          <w:b w:val="0"/>
          <w:i w:val="0"/>
          <w:smallCaps w:val="0"/>
          <w:strike w:val="0"/>
          <w:sz w:val="22"/>
          <w:highlight w:val="cyan"/>
          <w:u w:val="single"/>
        </w:rPr>
        <w:t xml:space="preserve"> has changed </w:t>
      </w:r>
      <w:r>
        <w:rPr>
          <w:b/>
          <w:i w:val="0"/>
          <w:smallCaps w:val="0"/>
          <w:strike w:val="0"/>
          <w:sz w:val="24"/>
          <w:highlight w:val="cyan"/>
          <w:u w:val="single"/>
        </w:rPr>
        <w:t xml:space="preserve">little </w:t>
      </w:r>
      <w:r>
        <w:rPr>
          <w:b/>
          <w:i w:val="0"/>
          <w:smallCaps w:val="0"/>
          <w:strike w:val="0"/>
          <w:sz w:val="24"/>
          <w:u w:val="single"/>
        </w:rPr>
        <w:t>over time</w:t>
      </w:r>
      <w:r>
        <w:rPr>
          <w:b w:val="0"/>
          <w:i w:val="0"/>
          <w:smallCaps w:val="0"/>
          <w:strike w:val="0"/>
          <w:sz w:val="22"/>
          <w:u w:val="single"/>
        </w:rPr>
        <w:t xml:space="preserve">, challenging the </w:t>
      </w:r>
      <w:r>
        <w:rPr>
          <w:b/>
          <w:i w:val="0"/>
          <w:smallCaps w:val="0"/>
          <w:strike w:val="0"/>
          <w:sz w:val="24"/>
          <w:u w:val="single"/>
        </w:rPr>
        <w:t>widespread notion</w:t>
      </w:r>
      <w:r>
        <w:rPr>
          <w:b w:val="0"/>
          <w:i w:val="0"/>
          <w:smallCaps w:val="0"/>
          <w:strike w:val="0"/>
          <w:sz w:val="22"/>
          <w:u w:val="single"/>
        </w:rPr>
        <w:t xml:space="preserve"> that it has </w:t>
      </w:r>
      <w:r>
        <w:rPr>
          <w:b/>
          <w:i w:val="0"/>
          <w:smallCaps w:val="0"/>
          <w:strike w:val="0"/>
          <w:sz w:val="24"/>
          <w:u w:val="single"/>
        </w:rPr>
        <w:t>substantially increased</w:t>
      </w:r>
      <w:r>
        <w:rPr>
          <w:b w:val="0"/>
          <w:i w:val="0"/>
          <w:smallCaps w:val="0"/>
          <w:strike w:val="0"/>
          <w:sz w:val="16"/>
          <w:u w:val="none"/>
        </w:rPr>
        <w:t xml:space="preserve">. Specifically, they discovered that the top one percent of income earners received nine percent of after-tax income in 2019, only a slight increase from eight percent in 1960. Then there’s research by my AEI colleague Michael Strain that found </w:t>
      </w:r>
      <w:r>
        <w:rPr>
          <w:b/>
          <w:i w:val="0"/>
          <w:smallCaps w:val="0"/>
          <w:strike w:val="0"/>
          <w:sz w:val="24"/>
          <w:u w:val="single"/>
        </w:rPr>
        <w:t xml:space="preserve">income </w:t>
      </w:r>
      <w:r>
        <w:rPr>
          <w:b/>
          <w:i w:val="0"/>
          <w:smallCaps w:val="0"/>
          <w:strike w:val="0"/>
          <w:sz w:val="24"/>
          <w:highlight w:val="cyan"/>
          <w:u w:val="single"/>
        </w:rPr>
        <w:t>inequality</w:t>
      </w:r>
      <w:r>
        <w:rPr>
          <w:b w:val="0"/>
          <w:i w:val="0"/>
          <w:smallCaps w:val="0"/>
          <w:strike w:val="0"/>
          <w:sz w:val="22"/>
          <w:highlight w:val="cyan"/>
          <w:u w:val="single"/>
        </w:rPr>
        <w:t xml:space="preserve"> across </w:t>
      </w:r>
      <w:r>
        <w:rPr>
          <w:b/>
          <w:i w:val="0"/>
          <w:smallCaps w:val="0"/>
          <w:strike w:val="0"/>
          <w:sz w:val="24"/>
          <w:highlight w:val="cyan"/>
          <w:u w:val="single"/>
        </w:rPr>
        <w:t>all households</w:t>
      </w:r>
      <w:r>
        <w:rPr>
          <w:b w:val="0"/>
          <w:i w:val="0"/>
          <w:smallCaps w:val="0"/>
          <w:strike w:val="0"/>
          <w:sz w:val="22"/>
          <w:u w:val="single"/>
        </w:rPr>
        <w:t xml:space="preserve">—after accounting for </w:t>
      </w:r>
      <w:r>
        <w:rPr>
          <w:b/>
          <w:i w:val="0"/>
          <w:smallCaps w:val="0"/>
          <w:strike w:val="0"/>
          <w:sz w:val="24"/>
          <w:u w:val="single"/>
        </w:rPr>
        <w:t>taxes</w:t>
      </w:r>
      <w:r>
        <w:rPr>
          <w:b w:val="0"/>
          <w:i w:val="0"/>
          <w:smallCaps w:val="0"/>
          <w:strike w:val="0"/>
          <w:sz w:val="22"/>
          <w:u w:val="single"/>
        </w:rPr>
        <w:t xml:space="preserve"> and</w:t>
      </w:r>
      <w:r>
        <w:rPr>
          <w:b w:val="0"/>
          <w:i w:val="0"/>
          <w:smallCaps w:val="0"/>
          <w:strike w:val="0"/>
          <w:sz w:val="16"/>
          <w:u w:val="none"/>
        </w:rPr>
        <w:t xml:space="preserve"> government </w:t>
      </w:r>
      <w:r>
        <w:rPr>
          <w:b/>
          <w:i w:val="0"/>
          <w:smallCaps w:val="0"/>
          <w:strike w:val="0"/>
          <w:sz w:val="24"/>
          <w:u w:val="single"/>
        </w:rPr>
        <w:t>transfers</w:t>
      </w:r>
      <w:r>
        <w:rPr>
          <w:b w:val="0"/>
          <w:i w:val="0"/>
          <w:smallCaps w:val="0"/>
          <w:strike w:val="0"/>
          <w:sz w:val="22"/>
          <w:u w:val="single"/>
        </w:rPr>
        <w:t xml:space="preserve"> and estimated with a </w:t>
      </w:r>
      <w:r>
        <w:rPr>
          <w:b/>
          <w:i w:val="0"/>
          <w:smallCaps w:val="0"/>
          <w:strike w:val="0"/>
          <w:sz w:val="24"/>
          <w:u w:val="single"/>
        </w:rPr>
        <w:t>Gini coefficient</w:t>
      </w:r>
      <w:r>
        <w:rPr>
          <w:b w:val="0"/>
          <w:i w:val="0"/>
          <w:smallCaps w:val="0"/>
          <w:strike w:val="0"/>
          <w:sz w:val="22"/>
          <w:u w:val="single"/>
        </w:rPr>
        <w:t>—</w:t>
      </w:r>
      <w:r>
        <w:rPr>
          <w:b w:val="0"/>
          <w:i w:val="0"/>
          <w:smallCaps w:val="0"/>
          <w:strike w:val="0"/>
          <w:sz w:val="22"/>
          <w:highlight w:val="cyan"/>
          <w:u w:val="single"/>
        </w:rPr>
        <w:t>fell by</w:t>
      </w:r>
      <w:r>
        <w:rPr>
          <w:b w:val="0"/>
          <w:i w:val="0"/>
          <w:smallCaps w:val="0"/>
          <w:strike w:val="0"/>
          <w:sz w:val="22"/>
          <w:u w:val="single"/>
        </w:rPr>
        <w:t xml:space="preserve"> </w:t>
      </w:r>
      <w:r>
        <w:rPr>
          <w:b/>
          <w:i w:val="0"/>
          <w:smallCaps w:val="0"/>
          <w:strike w:val="0"/>
          <w:sz w:val="24"/>
          <w:u w:val="single"/>
        </w:rPr>
        <w:t xml:space="preserve">more than </w:t>
      </w:r>
      <w:r>
        <w:rPr>
          <w:b/>
          <w:i w:val="0"/>
          <w:smallCaps w:val="0"/>
          <w:strike w:val="0"/>
          <w:sz w:val="24"/>
          <w:highlight w:val="cyan"/>
          <w:u w:val="single"/>
        </w:rPr>
        <w:t>five percent</w:t>
      </w:r>
      <w:r>
        <w:rPr>
          <w:b w:val="0"/>
          <w:i w:val="0"/>
          <w:smallCaps w:val="0"/>
          <w:strike w:val="0"/>
          <w:sz w:val="22"/>
          <w:u w:val="single"/>
        </w:rPr>
        <w:t xml:space="preserve"> between </w:t>
      </w:r>
      <w:r>
        <w:rPr>
          <w:b/>
          <w:i w:val="0"/>
          <w:smallCaps w:val="0"/>
          <w:strike w:val="0"/>
          <w:sz w:val="24"/>
          <w:u w:val="single"/>
        </w:rPr>
        <w:t>2007 and 2019</w:t>
      </w:r>
      <w:r>
        <w:rPr>
          <w:b w:val="0"/>
          <w:i w:val="0"/>
          <w:smallCaps w:val="0"/>
          <w:strike w:val="0"/>
          <w:sz w:val="16"/>
          <w:u w:val="none"/>
        </w:rPr>
        <w:t>.</w:t>
      </w:r>
    </w:p>
    <w:p>
      <w:pPr>
        <w:spacing w:after="60"/>
      </w:pPr>
      <w:r>
        <w:rPr>
          <w:b w:val="0"/>
          <w:i w:val="0"/>
          <w:smallCaps w:val="0"/>
          <w:strike w:val="0"/>
          <w:sz w:val="22"/>
          <w:u w:val="single"/>
        </w:rPr>
        <w:t xml:space="preserve">The </w:t>
      </w:r>
      <w:r>
        <w:rPr>
          <w:b/>
          <w:i w:val="0"/>
          <w:smallCaps w:val="0"/>
          <w:strike w:val="0"/>
          <w:sz w:val="24"/>
          <w:u w:val="single"/>
        </w:rPr>
        <w:t>impulse</w:t>
      </w:r>
      <w:r>
        <w:rPr>
          <w:b w:val="0"/>
          <w:i w:val="0"/>
          <w:smallCaps w:val="0"/>
          <w:strike w:val="0"/>
          <w:sz w:val="22"/>
          <w:u w:val="single"/>
        </w:rPr>
        <w:t xml:space="preserve"> to push </w:t>
      </w:r>
      <w:r>
        <w:rPr>
          <w:b/>
          <w:i w:val="0"/>
          <w:smallCaps w:val="0"/>
          <w:strike w:val="0"/>
          <w:sz w:val="24"/>
          <w:u w:val="single"/>
        </w:rPr>
        <w:t>doom and gloom</w:t>
      </w:r>
      <w:r>
        <w:rPr>
          <w:b w:val="0"/>
          <w:i w:val="0"/>
          <w:smallCaps w:val="0"/>
          <w:strike w:val="0"/>
          <w:sz w:val="22"/>
          <w:u w:val="single"/>
        </w:rPr>
        <w:t xml:space="preserve"> is </w:t>
      </w:r>
      <w:r>
        <w:rPr>
          <w:b/>
          <w:i w:val="0"/>
          <w:smallCaps w:val="0"/>
          <w:strike w:val="0"/>
          <w:sz w:val="24"/>
          <w:u w:val="single"/>
        </w:rPr>
        <w:t>alluring</w:t>
      </w:r>
      <w:r>
        <w:rPr>
          <w:b w:val="0"/>
          <w:i w:val="0"/>
          <w:smallCaps w:val="0"/>
          <w:strike w:val="0"/>
          <w:sz w:val="16"/>
          <w:u w:val="none"/>
        </w:rPr>
        <w:t xml:space="preserve">, I know. </w:t>
      </w:r>
      <w:r>
        <w:rPr>
          <w:b w:val="0"/>
          <w:i w:val="0"/>
          <w:smallCaps w:val="0"/>
          <w:strike w:val="0"/>
          <w:sz w:val="16"/>
          <w:u w:val="none"/>
        </w:rPr>
        <w:t>So</w:t>
      </w:r>
      <w:r>
        <w:rPr>
          <w:b w:val="0"/>
          <w:i w:val="0"/>
          <w:smallCaps w:val="0"/>
          <w:strike w:val="0"/>
          <w:sz w:val="16"/>
          <w:u w:val="none"/>
        </w:rPr>
        <w:t xml:space="preserve"> on it goes, another day, another questionable stat overstating economic troubles. As such the good work countering such presenting economic reality also continues.</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